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小标宋_GBK" w:hAnsi="Times New Roman" w:eastAsia="方正小标宋_GBK"/>
          <w:snapToGrid w:val="0"/>
          <w:color w:val="000000"/>
          <w:sz w:val="36"/>
          <w:szCs w:val="44"/>
        </w:rPr>
      </w:pPr>
    </w:p>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小标宋_GBK" w:hAnsi="Times New Roman" w:eastAsia="方正小标宋_GBK"/>
          <w:snapToGrid w:val="0"/>
          <w:color w:val="000000"/>
          <w:sz w:val="36"/>
          <w:szCs w:val="44"/>
        </w:rPr>
      </w:pPr>
    </w:p>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小标宋简体" w:hAnsi="方正小标宋简体" w:eastAsia="方正小标宋简体" w:cs="方正小标宋简体"/>
          <w:snapToGrid w:val="0"/>
          <w:color w:val="000000"/>
          <w:sz w:val="44"/>
          <w:szCs w:val="44"/>
          <w:lang w:eastAsia="zh-CN"/>
        </w:rPr>
      </w:pPr>
      <w:bookmarkStart w:id="0" w:name="_GoBack"/>
      <w:r>
        <w:rPr>
          <w:rFonts w:hint="eastAsia" w:ascii="方正小标宋简体" w:hAnsi="方正小标宋简体" w:eastAsia="方正小标宋简体" w:cs="方正小标宋简体"/>
          <w:snapToGrid w:val="0"/>
          <w:color w:val="000000"/>
          <w:sz w:val="44"/>
          <w:szCs w:val="44"/>
          <w:lang w:eastAsia="zh-CN"/>
        </w:rPr>
        <w:t>广西壮族自治区发展和改革委员会</w:t>
      </w:r>
    </w:p>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小标宋_GBK" w:hAnsi="Times New Roman" w:eastAsia="方正小标宋_GBK"/>
          <w:snapToGrid w:val="0"/>
          <w:color w:val="000000"/>
          <w:sz w:val="36"/>
          <w:szCs w:val="44"/>
        </w:rPr>
      </w:pPr>
      <w:r>
        <w:rPr>
          <w:rFonts w:hint="eastAsia" w:ascii="方正小标宋简体" w:hAnsi="方正小标宋简体" w:eastAsia="方正小标宋简体" w:cs="方正小标宋简体"/>
          <w:snapToGrid w:val="0"/>
          <w:color w:val="000000"/>
          <w:sz w:val="44"/>
          <w:szCs w:val="44"/>
          <w:lang w:val="en-US" w:eastAsia="zh-CN"/>
        </w:rPr>
        <w:t>2021年</w:t>
      </w:r>
      <w:r>
        <w:rPr>
          <w:rFonts w:hint="eastAsia" w:ascii="方正小标宋简体" w:hAnsi="方正小标宋简体" w:eastAsia="方正小标宋简体" w:cs="方正小标宋简体"/>
          <w:snapToGrid w:val="0"/>
          <w:color w:val="000000"/>
          <w:sz w:val="44"/>
          <w:szCs w:val="44"/>
        </w:rPr>
        <w:t>政府信息公开工作年度报告</w:t>
      </w:r>
      <w:bookmarkEnd w:id="0"/>
    </w:p>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小标宋_GBK" w:hAnsi="Times New Roman" w:eastAsia="方正小标宋_GBK"/>
          <w:snapToGrid w:val="0"/>
          <w:color w:val="000000"/>
          <w:sz w:val="36"/>
          <w:szCs w:val="44"/>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default" w:ascii="方正黑体_GBK" w:hAnsi="Times New Roman" w:eastAsia="方正仿宋_GBK"/>
          <w:snapToGrid w:val="0"/>
          <w:color w:val="000000"/>
          <w:sz w:val="32"/>
          <w:szCs w:val="32"/>
          <w:lang w:val="en-US" w:eastAsia="zh-CN"/>
        </w:rPr>
      </w:pPr>
      <w:r>
        <w:rPr>
          <w:rFonts w:hint="eastAsia" w:ascii="仿宋_GB2312" w:hAnsi="仿宋_GB2312" w:eastAsia="仿宋_GB2312" w:cs="仿宋_GB2312"/>
          <w:snapToGrid w:val="0"/>
          <w:color w:val="000000"/>
          <w:sz w:val="32"/>
          <w:szCs w:val="32"/>
          <w:lang w:eastAsia="zh-CN"/>
        </w:rPr>
        <w:t>根据《中华人民共和国政府信息公开条例》（国务院令第</w:t>
      </w:r>
      <w:r>
        <w:rPr>
          <w:rFonts w:hint="eastAsia" w:ascii="仿宋_GB2312" w:hAnsi="仿宋_GB2312" w:eastAsia="仿宋_GB2312" w:cs="仿宋_GB2312"/>
          <w:snapToGrid w:val="0"/>
          <w:color w:val="000000"/>
          <w:sz w:val="32"/>
          <w:szCs w:val="32"/>
          <w:lang w:val="en-US" w:eastAsia="zh-CN"/>
        </w:rPr>
        <w:t>711号</w:t>
      </w:r>
      <w:r>
        <w:rPr>
          <w:rFonts w:hint="eastAsia" w:ascii="仿宋_GB2312" w:hAnsi="仿宋_GB2312" w:eastAsia="仿宋_GB2312" w:cs="仿宋_GB2312"/>
          <w:snapToGrid w:val="0"/>
          <w:color w:val="000000"/>
          <w:sz w:val="32"/>
          <w:szCs w:val="32"/>
          <w:lang w:eastAsia="zh-CN"/>
        </w:rPr>
        <w:t>）要求，现公布广西壮族自治区发展和改革委员会</w:t>
      </w:r>
      <w:r>
        <w:rPr>
          <w:rFonts w:hint="eastAsia" w:ascii="仿宋_GB2312" w:hAnsi="仿宋_GB2312" w:eastAsia="仿宋_GB2312" w:cs="仿宋_GB2312"/>
          <w:snapToGrid w:val="0"/>
          <w:color w:val="000000"/>
          <w:sz w:val="32"/>
          <w:szCs w:val="32"/>
          <w:lang w:val="en-US" w:eastAsia="zh-CN"/>
        </w:rPr>
        <w:t>2021年政府信息公开工作年度报告。本报告由总体情况、主动公开政府信息情况、</w:t>
      </w:r>
      <w:r>
        <w:rPr>
          <w:rFonts w:hint="eastAsia" w:ascii="仿宋_GB2312" w:hAnsi="仿宋_GB2312" w:eastAsia="仿宋_GB2312" w:cs="仿宋_GB2312"/>
          <w:snapToGrid w:val="0"/>
          <w:color w:val="000000"/>
          <w:sz w:val="32"/>
          <w:szCs w:val="32"/>
        </w:rPr>
        <w:t>收到和处理政府信息公开申请情况</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政府信息公开行政复议</w:t>
      </w:r>
      <w:r>
        <w:rPr>
          <w:rFonts w:hint="eastAsia" w:ascii="仿宋_GB2312" w:hAnsi="仿宋_GB2312" w:eastAsia="仿宋_GB2312" w:cs="仿宋_GB2312"/>
          <w:snapToGrid w:val="0"/>
          <w:color w:val="000000"/>
          <w:sz w:val="32"/>
          <w:szCs w:val="32"/>
          <w:lang w:eastAsia="zh-CN"/>
        </w:rPr>
        <w:t>和</w:t>
      </w:r>
      <w:r>
        <w:rPr>
          <w:rFonts w:hint="eastAsia" w:ascii="仿宋_GB2312" w:hAnsi="仿宋_GB2312" w:eastAsia="仿宋_GB2312" w:cs="仿宋_GB2312"/>
          <w:snapToGrid w:val="0"/>
          <w:color w:val="000000"/>
          <w:sz w:val="32"/>
          <w:szCs w:val="32"/>
        </w:rPr>
        <w:t>行政诉讼情况</w:t>
      </w:r>
      <w:r>
        <w:rPr>
          <w:rFonts w:hint="eastAsia" w:ascii="仿宋_GB2312" w:hAnsi="仿宋_GB2312" w:eastAsia="仿宋_GB2312" w:cs="仿宋_GB2312"/>
          <w:snapToGrid w:val="0"/>
          <w:color w:val="000000"/>
          <w:sz w:val="32"/>
          <w:szCs w:val="32"/>
          <w:lang w:eastAsia="zh-CN"/>
        </w:rPr>
        <w:t>、存在问题及改进情况、其他需报告的事项六部分内容组成。本报告中使用数据统计期限为</w:t>
      </w:r>
      <w:r>
        <w:rPr>
          <w:rFonts w:hint="eastAsia" w:ascii="仿宋_GB2312" w:hAnsi="仿宋_GB2312" w:eastAsia="仿宋_GB2312" w:cs="仿宋_GB2312"/>
          <w:snapToGrid w:val="0"/>
          <w:color w:val="000000"/>
          <w:sz w:val="32"/>
          <w:szCs w:val="32"/>
          <w:lang w:val="en-US" w:eastAsia="zh-CN"/>
        </w:rPr>
        <w:t>2021年1月1日至12月31日。</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方正黑体_GBK" w:hAnsi="Times New Roman" w:eastAsia="方正黑体_GBK"/>
          <w:snapToGrid w:val="0"/>
          <w:color w:val="000000"/>
          <w:sz w:val="32"/>
          <w:szCs w:val="32"/>
        </w:rPr>
      </w:pPr>
      <w:r>
        <w:rPr>
          <w:rFonts w:hint="eastAsia" w:ascii="方正黑体_GBK" w:hAnsi="Times New Roman" w:eastAsia="方正黑体_GBK"/>
          <w:snapToGrid w:val="0"/>
          <w:color w:val="000000"/>
          <w:sz w:val="32"/>
          <w:szCs w:val="32"/>
        </w:rPr>
        <w:t>一、总体情况</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default"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2021年，自治区发展改革委以习近平新时代中国特色社会主义思想为指导，认真贯彻党的十九大和十九届</w:t>
      </w:r>
      <w:r>
        <w:rPr>
          <w:rFonts w:hint="default" w:ascii="仿宋_GB2312" w:hAnsi="仿宋_GB2312" w:eastAsia="仿宋_GB2312" w:cs="仿宋_GB2312"/>
          <w:snapToGrid w:val="0"/>
          <w:color w:val="000000"/>
          <w:sz w:val="32"/>
          <w:szCs w:val="32"/>
          <w:lang w:eastAsia="zh-CN"/>
        </w:rPr>
        <w:t>历次</w:t>
      </w:r>
      <w:r>
        <w:rPr>
          <w:rFonts w:hint="eastAsia" w:ascii="仿宋_GB2312" w:hAnsi="仿宋_GB2312" w:eastAsia="仿宋_GB2312" w:cs="仿宋_GB2312"/>
          <w:snapToGrid w:val="0"/>
          <w:color w:val="000000"/>
          <w:sz w:val="32"/>
          <w:szCs w:val="32"/>
          <w:lang w:val="en-US" w:eastAsia="zh-CN"/>
        </w:rPr>
        <w:t>全会精神，全面贯彻落实《中华人民共和国政府信息公开条例》和《</w:t>
      </w:r>
      <w:r>
        <w:rPr>
          <w:rFonts w:hint="eastAsia" w:ascii="仿宋_GB2312" w:hAnsi="仿宋_GB2312" w:eastAsia="仿宋_GB2312" w:cs="仿宋_GB2312"/>
          <w:snapToGrid w:val="0"/>
          <w:color w:val="000000"/>
          <w:sz w:val="32"/>
          <w:szCs w:val="32"/>
        </w:rPr>
        <w:t>广西壮族自治区政务服务和政务公开工作领导小组关于印发2021年全区政务公开工作要点的通知</w:t>
      </w:r>
      <w:r>
        <w:rPr>
          <w:rFonts w:hint="eastAsia" w:ascii="仿宋_GB2312" w:hAnsi="仿宋_GB2312" w:eastAsia="仿宋_GB2312" w:cs="仿宋_GB2312"/>
          <w:snapToGrid w:val="0"/>
          <w:color w:val="000000"/>
          <w:sz w:val="32"/>
          <w:szCs w:val="32"/>
          <w:lang w:val="en-US" w:eastAsia="zh-CN"/>
        </w:rPr>
        <w:t>》要求，立足发展改革工作实际，扎实推动政务公开规范化、标准化建设。</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default"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（一）主动公开方面。认真贯彻落实《中华人民共和国政府信息公开条例》，积极开展政府信息公开工作。</w:t>
      </w:r>
      <w:r>
        <w:rPr>
          <w:rFonts w:hint="eastAsia" w:ascii="仿宋_GB2312" w:hAnsi="仿宋_GB2312" w:eastAsia="仿宋_GB2312" w:cs="仿宋_GB2312"/>
          <w:b/>
          <w:bCs/>
          <w:snapToGrid w:val="0"/>
          <w:color w:val="000000"/>
          <w:sz w:val="32"/>
          <w:szCs w:val="32"/>
          <w:lang w:val="en-US" w:eastAsia="zh-CN"/>
        </w:rPr>
        <w:t>一是</w:t>
      </w:r>
      <w:r>
        <w:rPr>
          <w:rFonts w:hint="eastAsia" w:ascii="仿宋_GB2312" w:hAnsi="仿宋_GB2312" w:eastAsia="仿宋_GB2312" w:cs="仿宋_GB2312"/>
          <w:snapToGrid w:val="0"/>
          <w:color w:val="000000"/>
          <w:sz w:val="32"/>
          <w:szCs w:val="32"/>
          <w:lang w:val="en-US" w:eastAsia="zh-CN"/>
        </w:rPr>
        <w:t>在重大建设项目领域，主动公开全区重大建设项目批准服务信息、批准结果信息、重大设计变更信息等。</w:t>
      </w:r>
      <w:r>
        <w:rPr>
          <w:rFonts w:hint="eastAsia" w:ascii="仿宋_GB2312" w:hAnsi="仿宋_GB2312" w:eastAsia="仿宋_GB2312" w:cs="仿宋_GB2312"/>
          <w:b/>
          <w:bCs/>
          <w:snapToGrid w:val="0"/>
          <w:color w:val="000000"/>
          <w:sz w:val="32"/>
          <w:szCs w:val="32"/>
          <w:lang w:val="en-US" w:eastAsia="zh-CN"/>
        </w:rPr>
        <w:t>二是</w:t>
      </w:r>
      <w:r>
        <w:rPr>
          <w:rFonts w:hint="eastAsia" w:ascii="仿宋_GB2312" w:hAnsi="仿宋_GB2312" w:eastAsia="仿宋_GB2312" w:cs="仿宋_GB2312"/>
          <w:snapToGrid w:val="0"/>
          <w:color w:val="000000"/>
          <w:sz w:val="32"/>
          <w:szCs w:val="32"/>
          <w:lang w:val="en-US" w:eastAsia="zh-CN"/>
        </w:rPr>
        <w:t>做好社会公益事业建设领域公开，</w:t>
      </w:r>
      <w:r>
        <w:rPr>
          <w:rFonts w:hint="eastAsia" w:ascii="仿宋_GB2312" w:hAnsi="仿宋_GB2312" w:eastAsia="仿宋_GB2312" w:cs="仿宋_GB2312"/>
          <w:snapToGrid w:val="0"/>
          <w:color w:val="000000"/>
          <w:sz w:val="32"/>
          <w:szCs w:val="32"/>
        </w:rPr>
        <w:t>主动公开市场准入负面清单并根据调整情况动态更新</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b/>
          <w:bCs/>
          <w:snapToGrid w:val="0"/>
          <w:color w:val="000000"/>
          <w:sz w:val="32"/>
          <w:szCs w:val="32"/>
          <w:lang w:eastAsia="zh-CN"/>
        </w:rPr>
        <w:t>三是</w:t>
      </w:r>
      <w:r>
        <w:rPr>
          <w:rFonts w:hint="eastAsia" w:ascii="仿宋_GB2312" w:hAnsi="仿宋_GB2312" w:eastAsia="仿宋_GB2312" w:cs="仿宋_GB2312"/>
          <w:snapToGrid w:val="0"/>
          <w:color w:val="000000"/>
          <w:sz w:val="32"/>
          <w:szCs w:val="32"/>
          <w:lang w:eastAsia="zh-CN"/>
        </w:rPr>
        <w:t>持续做好政府信息公开工作。</w:t>
      </w:r>
      <w:r>
        <w:rPr>
          <w:rFonts w:hint="eastAsia" w:ascii="仿宋_GB2312" w:hAnsi="仿宋_GB2312" w:eastAsia="仿宋_GB2312" w:cs="仿宋_GB2312"/>
          <w:snapToGrid w:val="0"/>
          <w:color w:val="000000"/>
          <w:sz w:val="32"/>
          <w:szCs w:val="32"/>
          <w:lang w:val="en-US" w:eastAsia="zh-CN"/>
        </w:rPr>
        <w:t>2021年我委部门网站公开政府信息2689条，政务微信发布信息371条，政务微博发布信息257条。</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二）依申请公开方面。2021年度我委共受理政府信息公开申请件59件，到期办结率100%。均严格按照《中华人民共和国政府信息公开条例》《广西壮族自治区政府信息依申请公开工作制度》的规定和要求，进行依申请公开事项办理，具体答复情况以及涉及行政复议、行政诉讼的情况详见本报告第三部分。</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default"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（三）政府信息管理方面。2021年我委按规范开展政策性文件向社会公开征集意见并公开意见反馈情况，共报备出台行政规范性文件</w:t>
      </w:r>
      <w:r>
        <w:rPr>
          <w:rFonts w:hint="default" w:ascii="仿宋_GB2312" w:hAnsi="仿宋_GB2312" w:eastAsia="仿宋_GB2312" w:cs="仿宋_GB2312"/>
          <w:snapToGrid w:val="0"/>
          <w:color w:val="000000"/>
          <w:sz w:val="32"/>
          <w:szCs w:val="32"/>
          <w:lang w:val="en" w:eastAsia="zh-CN"/>
        </w:rPr>
        <w:t>10</w:t>
      </w:r>
      <w:r>
        <w:rPr>
          <w:rFonts w:hint="eastAsia" w:ascii="仿宋_GB2312" w:hAnsi="仿宋_GB2312" w:eastAsia="仿宋_GB2312" w:cs="仿宋_GB2312"/>
          <w:snapToGrid w:val="0"/>
          <w:color w:val="000000"/>
          <w:sz w:val="32"/>
          <w:szCs w:val="32"/>
          <w:lang w:val="en-US" w:eastAsia="zh-CN"/>
        </w:rPr>
        <w:t>件；按质按量完成基础政务公开标准化规范化工作任务；按要求归集建设政府信息公开专栏。</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四）政府信息公开平台建设方面。我委开设有“广西壮族自治区发展和改革委员会”部门网站、“广西发改委”政务微信及“广西发展改革”政务微博，部门网站已按照统一部署，迁移至广西政府网站集约化平台。</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default"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（五）监督保障方面。</w:t>
      </w:r>
      <w:r>
        <w:rPr>
          <w:rFonts w:hint="eastAsia" w:ascii="仿宋_GB2312" w:hAnsi="仿宋_GB2312" w:eastAsia="仿宋_GB2312" w:cs="仿宋_GB2312"/>
          <w:b/>
          <w:bCs/>
          <w:snapToGrid w:val="0"/>
          <w:color w:val="000000"/>
          <w:sz w:val="32"/>
          <w:szCs w:val="32"/>
          <w:lang w:val="en-US" w:eastAsia="zh-CN"/>
        </w:rPr>
        <w:t>一是</w:t>
      </w:r>
      <w:r>
        <w:rPr>
          <w:rFonts w:hint="eastAsia" w:ascii="仿宋_GB2312" w:hAnsi="仿宋_GB2312" w:eastAsia="仿宋_GB2312" w:cs="仿宋_GB2312"/>
          <w:snapToGrid w:val="0"/>
          <w:color w:val="000000"/>
          <w:sz w:val="32"/>
          <w:szCs w:val="32"/>
          <w:lang w:val="en-US" w:eastAsia="zh-CN"/>
        </w:rPr>
        <w:t>修订《广西壮族自治区发展和改革委员会部门网站管理办法》，进一步规范门户网站管理。</w:t>
      </w:r>
      <w:r>
        <w:rPr>
          <w:rFonts w:hint="eastAsia" w:ascii="仿宋_GB2312" w:hAnsi="仿宋_GB2312" w:eastAsia="仿宋_GB2312" w:cs="仿宋_GB2312"/>
          <w:b/>
          <w:bCs/>
          <w:snapToGrid w:val="0"/>
          <w:color w:val="000000"/>
          <w:sz w:val="32"/>
          <w:szCs w:val="32"/>
          <w:lang w:val="en-US" w:eastAsia="zh-CN"/>
        </w:rPr>
        <w:t>二是</w:t>
      </w:r>
      <w:r>
        <w:rPr>
          <w:rFonts w:hint="eastAsia" w:ascii="仿宋_GB2312" w:hAnsi="仿宋_GB2312" w:eastAsia="仿宋_GB2312" w:cs="仿宋_GB2312"/>
          <w:snapToGrid w:val="0"/>
          <w:color w:val="000000"/>
          <w:sz w:val="32"/>
          <w:szCs w:val="32"/>
          <w:lang w:val="en-US" w:eastAsia="zh-CN"/>
        </w:rPr>
        <w:t>落实政府信息先审后发制度，坚持信息内容审核把关，从源头上把控信息内容质量，确保不出现严重表述错误等问题。</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方正黑体_GBK" w:hAnsi="Times New Roman" w:eastAsia="方正黑体_GBK"/>
          <w:snapToGrid w:val="0"/>
          <w:color w:val="000000"/>
          <w:sz w:val="32"/>
          <w:szCs w:val="32"/>
        </w:rPr>
      </w:pPr>
      <w:r>
        <w:rPr>
          <w:rFonts w:hint="eastAsia" w:ascii="方正黑体_GBK" w:hAnsi="Times New Roman" w:eastAsia="方正黑体_GBK"/>
          <w:snapToGrid w:val="0"/>
          <w:color w:val="000000"/>
          <w:sz w:val="32"/>
          <w:szCs w:val="32"/>
        </w:rPr>
        <w:t>二、主动公开政府信息情况</w:t>
      </w:r>
    </w:p>
    <w:tbl>
      <w:tblPr>
        <w:tblStyle w:val="15"/>
        <w:tblW w:w="9072" w:type="dxa"/>
        <w:tblInd w:w="0" w:type="dxa"/>
        <w:tblLayout w:type="fixed"/>
        <w:tblCellMar>
          <w:top w:w="28" w:type="dxa"/>
          <w:left w:w="28" w:type="dxa"/>
          <w:bottom w:w="28" w:type="dxa"/>
          <w:right w:w="28" w:type="dxa"/>
        </w:tblCellMar>
      </w:tblPr>
      <w:tblGrid>
        <w:gridCol w:w="2268"/>
        <w:gridCol w:w="2268"/>
        <w:gridCol w:w="2268"/>
        <w:gridCol w:w="2268"/>
      </w:tblGrid>
      <w:tr>
        <w:tblPrEx>
          <w:tblCellMar>
            <w:top w:w="28" w:type="dxa"/>
            <w:left w:w="28" w:type="dxa"/>
            <w:bottom w:w="28" w:type="dxa"/>
            <w:right w:w="28" w:type="dxa"/>
          </w:tblCellMar>
        </w:tblPrEx>
        <w:trPr>
          <w:trHeight w:val="397" w:hRule="atLeast"/>
        </w:trPr>
        <w:tc>
          <w:tcPr>
            <w:tcW w:w="9072" w:type="dxa"/>
            <w:gridSpan w:val="4"/>
            <w:tcBorders>
              <w:top w:val="single" w:color="auto" w:sz="8" w:space="0"/>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auto"/>
                <w:kern w:val="0"/>
                <w:szCs w:val="21"/>
                <w:lang w:eastAsia="zh-CN"/>
              </w:rPr>
            </w:pPr>
            <w:r>
              <w:rPr>
                <w:rFonts w:hint="eastAsia" w:ascii="方正黑体_GBK" w:hAnsi="Times New Roman" w:eastAsia="方正黑体_GBK"/>
                <w:color w:val="auto"/>
                <w:kern w:val="0"/>
                <w:szCs w:val="21"/>
              </w:rPr>
              <w:t>第二十条第（一）项</w:t>
            </w:r>
            <w:r>
              <w:rPr>
                <w:rFonts w:hint="eastAsia" w:ascii="方正黑体_GBK" w:hAnsi="Times New Roman" w:eastAsia="方正黑体_GBK"/>
                <w:color w:val="auto"/>
                <w:kern w:val="0"/>
                <w:szCs w:val="21"/>
                <w:lang w:eastAsia="zh-CN"/>
              </w:rPr>
              <w:t>：行政法规、规章和规范性文件</w:t>
            </w:r>
          </w:p>
        </w:tc>
      </w:tr>
      <w:tr>
        <w:tblPrEx>
          <w:tblCellMar>
            <w:top w:w="28" w:type="dxa"/>
            <w:left w:w="28" w:type="dxa"/>
            <w:bottom w:w="28" w:type="dxa"/>
            <w:right w:w="28" w:type="dxa"/>
          </w:tblCellMar>
        </w:tblPrEx>
        <w:trPr>
          <w:trHeight w:val="397" w:hRule="atLeast"/>
        </w:trPr>
        <w:tc>
          <w:tcPr>
            <w:tcW w:w="226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信息内容</w:t>
            </w:r>
          </w:p>
        </w:tc>
        <w:tc>
          <w:tcPr>
            <w:tcW w:w="226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本年制发件数</w:t>
            </w:r>
          </w:p>
        </w:tc>
        <w:tc>
          <w:tcPr>
            <w:tcW w:w="226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本年废止件数</w:t>
            </w:r>
          </w:p>
        </w:tc>
        <w:tc>
          <w:tcPr>
            <w:tcW w:w="226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现行有效件数</w:t>
            </w:r>
          </w:p>
        </w:tc>
      </w:tr>
      <w:tr>
        <w:tblPrEx>
          <w:tblCellMar>
            <w:top w:w="28" w:type="dxa"/>
            <w:left w:w="28" w:type="dxa"/>
            <w:bottom w:w="28" w:type="dxa"/>
            <w:right w:w="28" w:type="dxa"/>
          </w:tblCellMar>
        </w:tblPrEx>
        <w:trPr>
          <w:trHeight w:val="397" w:hRule="atLeast"/>
        </w:trPr>
        <w:tc>
          <w:tcPr>
            <w:tcW w:w="226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规章</w:t>
            </w:r>
          </w:p>
        </w:tc>
        <w:tc>
          <w:tcPr>
            <w:tcW w:w="226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lang w:val="en-US" w:eastAsia="zh-CN"/>
              </w:rPr>
            </w:pPr>
            <w:r>
              <w:rPr>
                <w:rFonts w:hint="eastAsia" w:ascii="方正书宋_GBK" w:hAnsi="Times New Roman" w:eastAsia="方正书宋_GBK"/>
                <w:color w:val="auto"/>
                <w:kern w:val="0"/>
                <w:szCs w:val="21"/>
                <w:lang w:val="en-US" w:eastAsia="zh-CN"/>
              </w:rPr>
              <w:t>0</w:t>
            </w:r>
          </w:p>
        </w:tc>
        <w:tc>
          <w:tcPr>
            <w:tcW w:w="226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lang w:val="en-US" w:eastAsia="zh-CN"/>
              </w:rPr>
            </w:pPr>
            <w:r>
              <w:rPr>
                <w:rFonts w:hint="eastAsia" w:ascii="方正书宋_GBK" w:hAnsi="Times New Roman" w:eastAsia="方正书宋_GBK"/>
                <w:color w:val="auto"/>
                <w:kern w:val="0"/>
                <w:szCs w:val="21"/>
                <w:lang w:val="en-US" w:eastAsia="zh-CN"/>
              </w:rPr>
              <w:t>0</w:t>
            </w:r>
          </w:p>
        </w:tc>
        <w:tc>
          <w:tcPr>
            <w:tcW w:w="226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lang w:val="en-US" w:eastAsia="zh-CN"/>
              </w:rPr>
            </w:pPr>
            <w:r>
              <w:rPr>
                <w:rFonts w:hint="eastAsia" w:ascii="Times New Roman" w:hAnsi="Times New Roman" w:eastAsia="方正书宋_GBK"/>
                <w:color w:val="auto"/>
                <w:kern w:val="0"/>
                <w:szCs w:val="21"/>
                <w:lang w:val="en-US" w:eastAsia="zh-CN"/>
              </w:rPr>
              <w:t>0</w:t>
            </w:r>
          </w:p>
        </w:tc>
      </w:tr>
      <w:tr>
        <w:tblPrEx>
          <w:tblCellMar>
            <w:top w:w="28" w:type="dxa"/>
            <w:left w:w="28" w:type="dxa"/>
            <w:bottom w:w="28" w:type="dxa"/>
            <w:right w:w="28" w:type="dxa"/>
          </w:tblCellMar>
        </w:tblPrEx>
        <w:trPr>
          <w:trHeight w:val="397" w:hRule="atLeast"/>
        </w:trPr>
        <w:tc>
          <w:tcPr>
            <w:tcW w:w="226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行政规范性文件</w:t>
            </w:r>
          </w:p>
        </w:tc>
        <w:tc>
          <w:tcPr>
            <w:tcW w:w="226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default" w:ascii="方正书宋_GBK" w:hAnsi="Times New Roman" w:eastAsia="方正书宋_GBK"/>
                <w:color w:val="auto"/>
                <w:kern w:val="0"/>
                <w:szCs w:val="21"/>
                <w:lang w:val="en-US" w:eastAsia="zh-CN"/>
              </w:rPr>
            </w:pPr>
            <w:r>
              <w:rPr>
                <w:rFonts w:hint="eastAsia" w:ascii="方正书宋_GBK" w:hAnsi="Times New Roman" w:eastAsia="方正书宋_GBK"/>
                <w:color w:val="auto"/>
                <w:kern w:val="0"/>
                <w:szCs w:val="21"/>
                <w:lang w:val="en-US" w:eastAsia="zh-CN"/>
              </w:rPr>
              <w:t>10</w:t>
            </w:r>
          </w:p>
        </w:tc>
        <w:tc>
          <w:tcPr>
            <w:tcW w:w="226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lang w:val="en-US" w:eastAsia="zh-CN"/>
              </w:rPr>
            </w:pPr>
            <w:r>
              <w:rPr>
                <w:rFonts w:hint="eastAsia" w:ascii="方正书宋_GBK" w:hAnsi="Times New Roman" w:eastAsia="方正书宋_GBK"/>
                <w:color w:val="auto"/>
                <w:kern w:val="0"/>
                <w:szCs w:val="21"/>
                <w:lang w:val="en-US" w:eastAsia="zh-CN"/>
              </w:rPr>
              <w:t>0</w:t>
            </w:r>
          </w:p>
        </w:tc>
        <w:tc>
          <w:tcPr>
            <w:tcW w:w="226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default" w:ascii="方正书宋_GBK" w:hAnsi="Times New Roman" w:eastAsia="方正书宋_GBK"/>
                <w:color w:val="auto"/>
                <w:kern w:val="0"/>
                <w:szCs w:val="21"/>
                <w:lang w:val="en-US" w:eastAsia="zh-CN"/>
              </w:rPr>
            </w:pPr>
            <w:r>
              <w:rPr>
                <w:rFonts w:hint="eastAsia" w:ascii="方正书宋_GBK" w:hAnsi="Times New Roman" w:eastAsia="方正书宋_GBK"/>
                <w:color w:val="auto"/>
                <w:kern w:val="0"/>
                <w:szCs w:val="21"/>
                <w:lang w:val="en-US" w:eastAsia="zh-CN"/>
              </w:rPr>
              <w:t>39</w:t>
            </w:r>
          </w:p>
        </w:tc>
      </w:tr>
      <w:tr>
        <w:tblPrEx>
          <w:tblCellMar>
            <w:top w:w="28" w:type="dxa"/>
            <w:left w:w="28" w:type="dxa"/>
            <w:bottom w:w="28" w:type="dxa"/>
            <w:right w:w="28" w:type="dxa"/>
          </w:tblCellMar>
        </w:tblPrEx>
        <w:trPr>
          <w:trHeight w:val="397" w:hRule="atLeast"/>
        </w:trPr>
        <w:tc>
          <w:tcPr>
            <w:tcW w:w="9072" w:type="dxa"/>
            <w:gridSpan w:val="4"/>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auto"/>
                <w:kern w:val="0"/>
                <w:szCs w:val="21"/>
              </w:rPr>
            </w:pPr>
            <w:r>
              <w:rPr>
                <w:rFonts w:hint="eastAsia" w:ascii="方正黑体_GBK" w:hAnsi="Times New Roman" w:eastAsia="方正黑体_GBK"/>
                <w:color w:val="auto"/>
                <w:kern w:val="0"/>
                <w:szCs w:val="21"/>
              </w:rPr>
              <w:t>第二十条第（五）项</w:t>
            </w:r>
            <w:r>
              <w:rPr>
                <w:rFonts w:hint="eastAsia" w:ascii="方正黑体_GBK" w:hAnsi="Times New Roman" w:eastAsia="方正黑体_GBK"/>
                <w:color w:val="auto"/>
                <w:kern w:val="0"/>
                <w:szCs w:val="21"/>
                <w:lang w:eastAsia="zh-CN"/>
              </w:rPr>
              <w:t>：办理行政许可和其他对外管理服务事项的依据、条件、程序以及办理结果</w:t>
            </w:r>
          </w:p>
        </w:tc>
      </w:tr>
      <w:tr>
        <w:tblPrEx>
          <w:tblCellMar>
            <w:top w:w="28" w:type="dxa"/>
            <w:left w:w="28" w:type="dxa"/>
            <w:bottom w:w="28" w:type="dxa"/>
            <w:right w:w="28" w:type="dxa"/>
          </w:tblCellMar>
        </w:tblPrEx>
        <w:trPr>
          <w:trHeight w:val="397" w:hRule="atLeast"/>
        </w:trPr>
        <w:tc>
          <w:tcPr>
            <w:tcW w:w="226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信息内容</w:t>
            </w:r>
          </w:p>
        </w:tc>
        <w:tc>
          <w:tcPr>
            <w:tcW w:w="6804"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本年处理决定数量</w:t>
            </w:r>
          </w:p>
        </w:tc>
      </w:tr>
      <w:tr>
        <w:tblPrEx>
          <w:tblCellMar>
            <w:top w:w="28" w:type="dxa"/>
            <w:left w:w="28" w:type="dxa"/>
            <w:bottom w:w="28" w:type="dxa"/>
            <w:right w:w="28" w:type="dxa"/>
          </w:tblCellMar>
        </w:tblPrEx>
        <w:trPr>
          <w:trHeight w:val="397" w:hRule="atLeast"/>
        </w:trPr>
        <w:tc>
          <w:tcPr>
            <w:tcW w:w="226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行政许可</w:t>
            </w:r>
          </w:p>
        </w:tc>
        <w:tc>
          <w:tcPr>
            <w:tcW w:w="6804"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default" w:ascii="方正书宋_GBK" w:hAnsi="Times New Roman" w:eastAsia="方正书宋_GBK"/>
                <w:color w:val="auto"/>
                <w:kern w:val="0"/>
                <w:szCs w:val="21"/>
                <w:lang w:val="en-US" w:eastAsia="zh-CN"/>
              </w:rPr>
            </w:pPr>
            <w:r>
              <w:rPr>
                <w:rFonts w:hint="eastAsia" w:ascii="方正书宋_GBK" w:hAnsi="Times New Roman" w:eastAsia="方正书宋_GBK"/>
                <w:color w:val="auto"/>
                <w:kern w:val="0"/>
                <w:szCs w:val="21"/>
                <w:lang w:val="en-US" w:eastAsia="zh-CN"/>
              </w:rPr>
              <w:t>172</w:t>
            </w:r>
          </w:p>
        </w:tc>
      </w:tr>
      <w:tr>
        <w:tblPrEx>
          <w:tblCellMar>
            <w:top w:w="28" w:type="dxa"/>
            <w:left w:w="28" w:type="dxa"/>
            <w:bottom w:w="28" w:type="dxa"/>
            <w:right w:w="28" w:type="dxa"/>
          </w:tblCellMar>
        </w:tblPrEx>
        <w:trPr>
          <w:trHeight w:val="397" w:hRule="atLeast"/>
        </w:trPr>
        <w:tc>
          <w:tcPr>
            <w:tcW w:w="9072" w:type="dxa"/>
            <w:gridSpan w:val="4"/>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auto"/>
                <w:kern w:val="0"/>
                <w:szCs w:val="21"/>
                <w:lang w:eastAsia="zh-CN"/>
              </w:rPr>
            </w:pPr>
            <w:r>
              <w:rPr>
                <w:rFonts w:hint="eastAsia" w:ascii="方正黑体_GBK" w:hAnsi="Times New Roman" w:eastAsia="方正黑体_GBK"/>
                <w:color w:val="auto"/>
                <w:kern w:val="0"/>
                <w:szCs w:val="21"/>
              </w:rPr>
              <w:t>第二十条第（六）项</w:t>
            </w:r>
            <w:r>
              <w:rPr>
                <w:rFonts w:hint="eastAsia" w:ascii="方正黑体_GBK" w:hAnsi="Times New Roman" w:eastAsia="方正黑体_GBK"/>
                <w:color w:val="auto"/>
                <w:kern w:val="0"/>
                <w:szCs w:val="21"/>
                <w:lang w:eastAsia="zh-CN"/>
              </w:rPr>
              <w:t>：实施行政处罚、行政强制的依据、条件、程序以及本行政机关认为具有一定社会影响的行政处罚决定</w:t>
            </w:r>
          </w:p>
        </w:tc>
      </w:tr>
      <w:tr>
        <w:tblPrEx>
          <w:tblCellMar>
            <w:top w:w="28" w:type="dxa"/>
            <w:left w:w="28" w:type="dxa"/>
            <w:bottom w:w="28" w:type="dxa"/>
            <w:right w:w="28" w:type="dxa"/>
          </w:tblCellMar>
        </w:tblPrEx>
        <w:trPr>
          <w:trHeight w:val="397" w:hRule="atLeast"/>
        </w:trPr>
        <w:tc>
          <w:tcPr>
            <w:tcW w:w="226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信息内容</w:t>
            </w:r>
          </w:p>
        </w:tc>
        <w:tc>
          <w:tcPr>
            <w:tcW w:w="6804"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本年处理决定数量</w:t>
            </w:r>
          </w:p>
        </w:tc>
      </w:tr>
      <w:tr>
        <w:tblPrEx>
          <w:tblCellMar>
            <w:top w:w="28" w:type="dxa"/>
            <w:left w:w="28" w:type="dxa"/>
            <w:bottom w:w="28" w:type="dxa"/>
            <w:right w:w="28" w:type="dxa"/>
          </w:tblCellMar>
        </w:tblPrEx>
        <w:trPr>
          <w:trHeight w:val="397" w:hRule="atLeast"/>
        </w:trPr>
        <w:tc>
          <w:tcPr>
            <w:tcW w:w="226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行政处罚</w:t>
            </w:r>
          </w:p>
        </w:tc>
        <w:tc>
          <w:tcPr>
            <w:tcW w:w="6804"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lang w:val="en-US" w:eastAsia="zh-CN"/>
              </w:rPr>
            </w:pPr>
            <w:r>
              <w:rPr>
                <w:rFonts w:hint="eastAsia" w:ascii="方正书宋_GBK" w:hAnsi="Times New Roman" w:eastAsia="方正书宋_GBK"/>
                <w:color w:val="auto"/>
                <w:kern w:val="0"/>
                <w:szCs w:val="21"/>
                <w:lang w:val="en-US" w:eastAsia="zh-CN"/>
              </w:rPr>
              <w:t>0</w:t>
            </w:r>
          </w:p>
        </w:tc>
      </w:tr>
      <w:tr>
        <w:tblPrEx>
          <w:tblCellMar>
            <w:top w:w="28" w:type="dxa"/>
            <w:left w:w="28" w:type="dxa"/>
            <w:bottom w:w="28" w:type="dxa"/>
            <w:right w:w="28" w:type="dxa"/>
          </w:tblCellMar>
        </w:tblPrEx>
        <w:trPr>
          <w:trHeight w:val="397" w:hRule="atLeast"/>
        </w:trPr>
        <w:tc>
          <w:tcPr>
            <w:tcW w:w="226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行政强制</w:t>
            </w:r>
          </w:p>
        </w:tc>
        <w:tc>
          <w:tcPr>
            <w:tcW w:w="6804"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lang w:eastAsia="zh-CN"/>
              </w:rPr>
            </w:pPr>
            <w:r>
              <w:rPr>
                <w:rFonts w:hint="eastAsia" w:ascii="方正书宋_GBK" w:hAnsi="Times New Roman" w:eastAsia="方正书宋_GBK"/>
                <w:color w:val="auto"/>
                <w:kern w:val="0"/>
                <w:szCs w:val="21"/>
                <w:lang w:val="en-US" w:eastAsia="zh-CN"/>
              </w:rPr>
              <w:t>0</w:t>
            </w:r>
          </w:p>
        </w:tc>
      </w:tr>
      <w:tr>
        <w:tblPrEx>
          <w:tblCellMar>
            <w:top w:w="28" w:type="dxa"/>
            <w:left w:w="28" w:type="dxa"/>
            <w:bottom w:w="28" w:type="dxa"/>
            <w:right w:w="28" w:type="dxa"/>
          </w:tblCellMar>
        </w:tblPrEx>
        <w:trPr>
          <w:trHeight w:val="397" w:hRule="atLeast"/>
        </w:trPr>
        <w:tc>
          <w:tcPr>
            <w:tcW w:w="9072" w:type="dxa"/>
            <w:gridSpan w:val="4"/>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auto"/>
                <w:kern w:val="0"/>
                <w:szCs w:val="21"/>
                <w:lang w:eastAsia="zh-CN"/>
              </w:rPr>
            </w:pPr>
            <w:r>
              <w:rPr>
                <w:rFonts w:hint="eastAsia" w:ascii="方正黑体_GBK" w:hAnsi="Times New Roman" w:eastAsia="方正黑体_GBK"/>
                <w:color w:val="auto"/>
                <w:kern w:val="0"/>
                <w:szCs w:val="21"/>
              </w:rPr>
              <w:t>第二十条第（八）项</w:t>
            </w:r>
            <w:r>
              <w:rPr>
                <w:rFonts w:hint="eastAsia" w:ascii="方正黑体_GBK" w:hAnsi="Times New Roman" w:eastAsia="方正黑体_GBK"/>
                <w:color w:val="auto"/>
                <w:kern w:val="0"/>
                <w:szCs w:val="21"/>
                <w:lang w:eastAsia="zh-CN"/>
              </w:rPr>
              <w:t>：行政事业性收费项目及其依据、标准</w:t>
            </w:r>
          </w:p>
        </w:tc>
      </w:tr>
      <w:tr>
        <w:tblPrEx>
          <w:tblCellMar>
            <w:top w:w="28" w:type="dxa"/>
            <w:left w:w="28" w:type="dxa"/>
            <w:bottom w:w="28" w:type="dxa"/>
            <w:right w:w="28" w:type="dxa"/>
          </w:tblCellMar>
        </w:tblPrEx>
        <w:trPr>
          <w:trHeight w:val="397" w:hRule="atLeast"/>
        </w:trPr>
        <w:tc>
          <w:tcPr>
            <w:tcW w:w="226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信息内容</w:t>
            </w:r>
          </w:p>
        </w:tc>
        <w:tc>
          <w:tcPr>
            <w:tcW w:w="6804"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本年收费金额（单位：万元）</w:t>
            </w:r>
          </w:p>
        </w:tc>
      </w:tr>
      <w:tr>
        <w:tblPrEx>
          <w:tblCellMar>
            <w:top w:w="28" w:type="dxa"/>
            <w:left w:w="28" w:type="dxa"/>
            <w:bottom w:w="28" w:type="dxa"/>
            <w:right w:w="28" w:type="dxa"/>
          </w:tblCellMar>
        </w:tblPrEx>
        <w:trPr>
          <w:trHeight w:val="397" w:hRule="atLeast"/>
        </w:trPr>
        <w:tc>
          <w:tcPr>
            <w:tcW w:w="2268"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rPr>
            </w:pPr>
            <w:r>
              <w:rPr>
                <w:rFonts w:hint="eastAsia" w:ascii="方正书宋_GBK" w:hAnsi="Times New Roman" w:eastAsia="方正书宋_GBK"/>
                <w:color w:val="auto"/>
                <w:kern w:val="0"/>
                <w:szCs w:val="21"/>
              </w:rPr>
              <w:t>行政事业性收费</w:t>
            </w:r>
          </w:p>
        </w:tc>
        <w:tc>
          <w:tcPr>
            <w:tcW w:w="6804"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auto"/>
                <w:kern w:val="0"/>
                <w:szCs w:val="21"/>
                <w:lang w:eastAsia="zh-CN"/>
              </w:rPr>
            </w:pPr>
            <w:r>
              <w:rPr>
                <w:rFonts w:hint="eastAsia" w:ascii="方正书宋_GBK" w:hAnsi="Times New Roman" w:eastAsia="方正书宋_GBK"/>
                <w:color w:val="auto"/>
                <w:kern w:val="0"/>
                <w:szCs w:val="21"/>
                <w:lang w:val="en-US" w:eastAsia="zh-CN"/>
              </w:rPr>
              <w:t>0</w:t>
            </w:r>
          </w:p>
        </w:tc>
      </w:tr>
    </w:tbl>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ascii="方正黑体_GBK" w:hAnsi="Times New Roman" w:eastAsia="方正黑体_GBK"/>
          <w:snapToGrid w:val="0"/>
          <w:color w:val="000000"/>
          <w:sz w:val="32"/>
          <w:szCs w:val="32"/>
        </w:rPr>
      </w:pPr>
      <w:r>
        <w:rPr>
          <w:rFonts w:hint="eastAsia" w:ascii="方正黑体_GBK" w:hAnsi="Times New Roman" w:eastAsia="方正黑体_GBK"/>
          <w:snapToGrid w:val="0"/>
          <w:color w:val="000000"/>
          <w:sz w:val="32"/>
          <w:szCs w:val="32"/>
        </w:rPr>
        <w:t>三、收到和处理政府信息公开申请情况</w:t>
      </w:r>
    </w:p>
    <w:tbl>
      <w:tblPr>
        <w:tblStyle w:val="15"/>
        <w:tblW w:w="9072" w:type="dxa"/>
        <w:jc w:val="center"/>
        <w:tblLayout w:type="fixed"/>
        <w:tblCellMar>
          <w:top w:w="28" w:type="dxa"/>
          <w:left w:w="28" w:type="dxa"/>
          <w:bottom w:w="28" w:type="dxa"/>
          <w:right w:w="28" w:type="dxa"/>
        </w:tblCellMar>
      </w:tblPr>
      <w:tblGrid>
        <w:gridCol w:w="869"/>
        <w:gridCol w:w="1106"/>
        <w:gridCol w:w="2744"/>
        <w:gridCol w:w="854"/>
        <w:gridCol w:w="643"/>
        <w:gridCol w:w="714"/>
        <w:gridCol w:w="658"/>
        <w:gridCol w:w="616"/>
        <w:gridCol w:w="420"/>
        <w:gridCol w:w="448"/>
      </w:tblGrid>
      <w:tr>
        <w:tblPrEx>
          <w:tblCellMar>
            <w:top w:w="28" w:type="dxa"/>
            <w:left w:w="28" w:type="dxa"/>
            <w:bottom w:w="28" w:type="dxa"/>
            <w:right w:w="28" w:type="dxa"/>
          </w:tblCellMar>
        </w:tblPrEx>
        <w:trPr>
          <w:trHeight w:val="397" w:hRule="atLeast"/>
          <w:tblHeader/>
          <w:jc w:val="center"/>
        </w:trPr>
        <w:tc>
          <w:tcPr>
            <w:tcW w:w="471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（本列数据的勾稽关系为：第一项加第二项之和，等于第三项加第四项之和）</w:t>
            </w:r>
          </w:p>
        </w:tc>
        <w:tc>
          <w:tcPr>
            <w:tcW w:w="4353" w:type="dxa"/>
            <w:gridSpan w:val="7"/>
            <w:tcBorders>
              <w:top w:val="single" w:color="auto" w:sz="8"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申请人情况</w:t>
            </w:r>
          </w:p>
        </w:tc>
      </w:tr>
      <w:tr>
        <w:tblPrEx>
          <w:tblCellMar>
            <w:top w:w="28" w:type="dxa"/>
            <w:left w:w="28" w:type="dxa"/>
            <w:bottom w:w="28" w:type="dxa"/>
            <w:right w:w="28" w:type="dxa"/>
          </w:tblCellMar>
        </w:tblPrEx>
        <w:trPr>
          <w:trHeight w:val="397" w:hRule="atLeast"/>
          <w:tblHeader/>
          <w:jc w:val="center"/>
        </w:trPr>
        <w:tc>
          <w:tcPr>
            <w:tcW w:w="4719"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p>
        </w:tc>
        <w:tc>
          <w:tcPr>
            <w:tcW w:w="854" w:type="dxa"/>
            <w:vMerge w:val="restart"/>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自然人</w:t>
            </w:r>
          </w:p>
        </w:tc>
        <w:tc>
          <w:tcPr>
            <w:tcW w:w="3051" w:type="dxa"/>
            <w:gridSpan w:val="5"/>
            <w:tcBorders>
              <w:top w:val="single" w:color="auto" w:sz="8"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法人或其他组织</w:t>
            </w:r>
          </w:p>
        </w:tc>
        <w:tc>
          <w:tcPr>
            <w:tcW w:w="448" w:type="dxa"/>
            <w:vMerge w:val="restart"/>
            <w:tcBorders>
              <w:top w:val="single" w:color="auto" w:sz="8"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总计</w:t>
            </w:r>
          </w:p>
        </w:tc>
      </w:tr>
      <w:tr>
        <w:tblPrEx>
          <w:tblCellMar>
            <w:top w:w="28" w:type="dxa"/>
            <w:left w:w="28" w:type="dxa"/>
            <w:bottom w:w="28" w:type="dxa"/>
            <w:right w:w="28" w:type="dxa"/>
          </w:tblCellMar>
        </w:tblPrEx>
        <w:trPr>
          <w:trHeight w:val="397" w:hRule="atLeast"/>
          <w:tblHeader/>
          <w:jc w:val="center"/>
        </w:trPr>
        <w:tc>
          <w:tcPr>
            <w:tcW w:w="4719" w:type="dxa"/>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p>
        </w:tc>
        <w:tc>
          <w:tcPr>
            <w:tcW w:w="854" w:type="dxa"/>
            <w:vMerge w:val="continue"/>
            <w:tcBorders>
              <w:top w:val="single" w:color="auto" w:sz="0" w:space="0"/>
              <w:left w:val="single" w:color="auto" w:sz="0"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p>
        </w:tc>
        <w:tc>
          <w:tcPr>
            <w:tcW w:w="643"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商业</w:t>
            </w:r>
          </w:p>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企业</w:t>
            </w:r>
          </w:p>
        </w:tc>
        <w:tc>
          <w:tcPr>
            <w:tcW w:w="714"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科研</w:t>
            </w:r>
          </w:p>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机构</w:t>
            </w:r>
          </w:p>
        </w:tc>
        <w:tc>
          <w:tcPr>
            <w:tcW w:w="658" w:type="dxa"/>
            <w:tcBorders>
              <w:top w:val="single" w:color="auto" w:sz="8"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社会公益组织</w:t>
            </w:r>
          </w:p>
        </w:tc>
        <w:tc>
          <w:tcPr>
            <w:tcW w:w="616" w:type="dxa"/>
            <w:tcBorders>
              <w:top w:val="single" w:color="auto" w:sz="8"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法律服务机构</w:t>
            </w:r>
          </w:p>
        </w:tc>
        <w:tc>
          <w:tcPr>
            <w:tcW w:w="420" w:type="dxa"/>
            <w:tcBorders>
              <w:top w:val="single" w:color="auto" w:sz="8"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其他</w:t>
            </w:r>
          </w:p>
        </w:tc>
        <w:tc>
          <w:tcPr>
            <w:tcW w:w="448" w:type="dxa"/>
            <w:vMerge w:val="continue"/>
            <w:tcBorders>
              <w:top w:val="single" w:color="auto" w:sz="8"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p>
        </w:tc>
      </w:tr>
      <w:tr>
        <w:tblPrEx>
          <w:tblCellMar>
            <w:top w:w="28" w:type="dxa"/>
            <w:left w:w="28" w:type="dxa"/>
            <w:bottom w:w="28" w:type="dxa"/>
            <w:right w:w="28" w:type="dxa"/>
          </w:tblCellMar>
        </w:tblPrEx>
        <w:trPr>
          <w:trHeight w:val="397" w:hRule="atLeast"/>
          <w:jc w:val="center"/>
        </w:trPr>
        <w:tc>
          <w:tcPr>
            <w:tcW w:w="4719" w:type="dxa"/>
            <w:gridSpan w:val="3"/>
            <w:tcBorders>
              <w:top w:val="nil"/>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一、本年新收政府信息公开申请数量</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default"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58</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default"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1</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default"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59</w:t>
            </w:r>
          </w:p>
        </w:tc>
      </w:tr>
      <w:tr>
        <w:tblPrEx>
          <w:tblCellMar>
            <w:top w:w="28" w:type="dxa"/>
            <w:left w:w="28" w:type="dxa"/>
            <w:bottom w:w="28" w:type="dxa"/>
            <w:right w:w="28" w:type="dxa"/>
          </w:tblCellMar>
        </w:tblPrEx>
        <w:trPr>
          <w:trHeight w:val="397" w:hRule="atLeast"/>
          <w:jc w:val="center"/>
        </w:trPr>
        <w:tc>
          <w:tcPr>
            <w:tcW w:w="4719" w:type="dxa"/>
            <w:gridSpan w:val="3"/>
            <w:tcBorders>
              <w:top w:val="nil"/>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二、上年结转政府信息公开申请数量</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4</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4</w:t>
            </w:r>
          </w:p>
        </w:tc>
      </w:tr>
      <w:tr>
        <w:tblPrEx>
          <w:tblCellMar>
            <w:top w:w="28" w:type="dxa"/>
            <w:left w:w="28" w:type="dxa"/>
            <w:bottom w:w="28" w:type="dxa"/>
            <w:right w:w="28" w:type="dxa"/>
          </w:tblCellMar>
        </w:tblPrEx>
        <w:trPr>
          <w:trHeight w:val="397" w:hRule="atLeast"/>
          <w:jc w:val="center"/>
        </w:trPr>
        <w:tc>
          <w:tcPr>
            <w:tcW w:w="86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三、本年度办理结果</w:t>
            </w:r>
          </w:p>
        </w:tc>
        <w:tc>
          <w:tcPr>
            <w:tcW w:w="3850" w:type="dxa"/>
            <w:gridSpan w:val="2"/>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（一）予以公开</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default"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25</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1</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default"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26</w:t>
            </w:r>
          </w:p>
        </w:tc>
      </w:tr>
      <w:tr>
        <w:tblPrEx>
          <w:tblCellMar>
            <w:top w:w="28" w:type="dxa"/>
            <w:left w:w="28" w:type="dxa"/>
            <w:bottom w:w="28" w:type="dxa"/>
            <w:right w:w="28" w:type="dxa"/>
          </w:tblCellMar>
        </w:tblPrEx>
        <w:trPr>
          <w:trHeight w:val="397" w:hRule="atLeast"/>
          <w:jc w:val="center"/>
        </w:trPr>
        <w:tc>
          <w:tcPr>
            <w:tcW w:w="86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3850" w:type="dxa"/>
            <w:gridSpan w:val="2"/>
            <w:tcBorders>
              <w:top w:val="nil"/>
              <w:left w:val="single" w:color="auto" w:sz="4"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（二）部分公开（区分处理的，只计这一情形，不计其他情形）</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1</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default"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1</w:t>
            </w:r>
          </w:p>
        </w:tc>
      </w:tr>
      <w:tr>
        <w:tblPrEx>
          <w:tblCellMar>
            <w:top w:w="28" w:type="dxa"/>
            <w:left w:w="28" w:type="dxa"/>
            <w:bottom w:w="28" w:type="dxa"/>
            <w:right w:w="28" w:type="dxa"/>
          </w:tblCellMar>
        </w:tblPrEx>
        <w:trPr>
          <w:trHeight w:val="425" w:hRule="atLeast"/>
          <w:jc w:val="center"/>
        </w:trPr>
        <w:tc>
          <w:tcPr>
            <w:tcW w:w="869" w:type="dxa"/>
            <w:vMerge w:val="restart"/>
            <w:tcBorders>
              <w:top w:val="single" w:color="auto" w:sz="4"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三、本年度办理结果</w:t>
            </w:r>
          </w:p>
        </w:tc>
        <w:tc>
          <w:tcPr>
            <w:tcW w:w="1106" w:type="dxa"/>
            <w:vMerge w:val="restart"/>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（三）不予公开</w:t>
            </w: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1.属于国家秘密</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8"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2.其他法律行政法规禁止公开</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3.危及“三安全一稳定”</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4.保护第三方合法权益</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1</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1</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5.属于三类内部事务信息</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6.属于四类过程性信息</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7.属于行政执法案卷</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8.属于行政查询事项</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restart"/>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（四）无法提供</w:t>
            </w: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1.本机关不掌握相关政府信息</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default"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27</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default"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27</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2.没有现成信息需要另行制作</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3</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3</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3.补正后申请内容仍不明确</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1</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1</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restart"/>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（五）不予处理</w:t>
            </w: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1.信访举报投诉类申请</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2.重复申请</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3.要求提供公开出版物</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4.无正当理由大量反复申请</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continue"/>
            <w:tcBorders>
              <w:top w:val="single" w:color="auto" w:sz="0"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5.要求行政机关确认或重新出具已获取信息</w:t>
            </w:r>
          </w:p>
        </w:tc>
        <w:tc>
          <w:tcPr>
            <w:tcW w:w="854"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p>
        </w:tc>
        <w:tc>
          <w:tcPr>
            <w:tcW w:w="1106" w:type="dxa"/>
            <w:vMerge w:val="restart"/>
            <w:tcBorders>
              <w:top w:val="inset" w:color="auto" w:sz="8" w:space="0"/>
              <w:left w:val="single" w:color="auto" w:sz="0"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（六）其他处理</w:t>
            </w: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1.申请人无正当理由逾期不补正、行政机关不再处理其政府信息公开申请</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1106" w:type="dxa"/>
            <w:vMerge w:val="continue"/>
            <w:tcBorders>
              <w:top w:val="inset" w:color="auto" w:sz="8"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2.申请人逾期未按收费通知要求缴纳费用、行政机关不再处理其政府信息公开申请</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1106" w:type="dxa"/>
            <w:vMerge w:val="continue"/>
            <w:tcBorders>
              <w:top w:val="inset" w:color="auto" w:sz="8" w:space="0"/>
              <w:left w:val="single" w:color="auto" w:sz="0"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2744" w:type="dxa"/>
            <w:tcBorders>
              <w:top w:val="single" w:color="auto" w:sz="0" w:space="0"/>
              <w:left w:val="single" w:color="auto" w:sz="0" w:space="0"/>
              <w:bottom w:val="triple" w:color="auto" w:sz="8" w:space="0"/>
              <w:right w:val="single" w:color="auto" w:sz="8" w:space="0"/>
            </w:tcBorders>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3.其他</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rPr>
            </w:pPr>
            <w:r>
              <w:rPr>
                <w:rFonts w:hint="default" w:ascii="方正书宋_GBK" w:hAnsi="方正书宋_GBK" w:eastAsia="方正书宋_GBK" w:cs="方正书宋_GBK"/>
                <w:i w:val="0"/>
                <w:color w:val="000000"/>
                <w:kern w:val="0"/>
                <w:sz w:val="21"/>
                <w:szCs w:val="21"/>
                <w:u w:val="none"/>
                <w:lang w:val="en-US" w:eastAsia="zh-CN" w:bidi="ar"/>
              </w:rPr>
              <w:t>0</w:t>
            </w:r>
          </w:p>
        </w:tc>
      </w:tr>
      <w:tr>
        <w:tblPrEx>
          <w:tblCellMar>
            <w:top w:w="28" w:type="dxa"/>
            <w:left w:w="28" w:type="dxa"/>
            <w:bottom w:w="28" w:type="dxa"/>
            <w:right w:w="28" w:type="dxa"/>
          </w:tblCellMar>
        </w:tblPrEx>
        <w:trPr>
          <w:trHeight w:val="425" w:hRule="atLeast"/>
          <w:jc w:val="center"/>
        </w:trPr>
        <w:tc>
          <w:tcPr>
            <w:tcW w:w="869" w:type="dxa"/>
            <w:vMerge w:val="continue"/>
            <w:tcBorders>
              <w:left w:val="single" w:color="auto" w:sz="8" w:space="0"/>
              <w:bottom w:val="inset"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p>
        </w:tc>
        <w:tc>
          <w:tcPr>
            <w:tcW w:w="3850" w:type="dxa"/>
            <w:gridSpan w:val="2"/>
            <w:tcBorders>
              <w:top w:val="single" w:color="auto" w:sz="0" w:space="0"/>
              <w:left w:val="single" w:color="auto" w:sz="0" w:space="0"/>
              <w:bottom w:val="trip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（七）总计</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default" w:ascii="方正书宋_GBK" w:hAnsi="Times New Roman" w:eastAsia="方正书宋_GBK"/>
                <w:color w:val="000000"/>
                <w:kern w:val="0"/>
                <w:szCs w:val="21"/>
                <w:lang w:val="en-US" w:eastAsia="zh-CN"/>
              </w:rPr>
            </w:pPr>
            <w:r>
              <w:rPr>
                <w:rFonts w:hint="eastAsia" w:ascii="方正书宋_GBK" w:hAnsi="方正书宋_GBK" w:eastAsia="方正书宋_GBK" w:cs="方正书宋_GBK"/>
                <w:i w:val="0"/>
                <w:color w:val="000000"/>
                <w:kern w:val="0"/>
                <w:sz w:val="21"/>
                <w:szCs w:val="21"/>
                <w:u w:val="none"/>
                <w:lang w:val="en-US" w:eastAsia="zh-CN" w:bidi="ar"/>
              </w:rPr>
              <w:t>58</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eastAsia" w:ascii="方正书宋_GBK" w:hAnsi="方正书宋_GBK" w:eastAsia="方正书宋_GBK" w:cs="方正书宋_GBK"/>
                <w:i w:val="0"/>
                <w:color w:val="000000"/>
                <w:kern w:val="0"/>
                <w:sz w:val="21"/>
                <w:szCs w:val="21"/>
                <w:u w:val="none"/>
                <w:lang w:val="en-US" w:eastAsia="zh-CN" w:bidi="ar"/>
              </w:rPr>
              <w:t>1</w:t>
            </w:r>
          </w:p>
        </w:tc>
        <w:tc>
          <w:tcPr>
            <w:tcW w:w="714" w:type="dxa"/>
            <w:tcBorders>
              <w:top w:val="nil"/>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single"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dashed" w:color="auto" w:sz="0" w:space="0"/>
              <w:left w:val="single" w:color="auto" w:sz="0"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default" w:ascii="方正书宋_GBK" w:hAnsi="Times New Roman" w:eastAsia="方正书宋_GBK"/>
                <w:color w:val="000000"/>
                <w:kern w:val="0"/>
                <w:szCs w:val="21"/>
                <w:lang w:val="en-US" w:eastAsia="zh-CN"/>
              </w:rPr>
            </w:pPr>
            <w:r>
              <w:rPr>
                <w:rFonts w:hint="eastAsia" w:ascii="方正书宋_GBK" w:hAnsi="方正书宋_GBK" w:eastAsia="方正书宋_GBK" w:cs="方正书宋_GBK"/>
                <w:i w:val="0"/>
                <w:color w:val="000000"/>
                <w:kern w:val="0"/>
                <w:sz w:val="21"/>
                <w:szCs w:val="21"/>
                <w:u w:val="none"/>
                <w:lang w:val="en-US" w:eastAsia="zh-CN" w:bidi="ar"/>
              </w:rPr>
              <w:t>59</w:t>
            </w:r>
          </w:p>
        </w:tc>
      </w:tr>
      <w:tr>
        <w:tblPrEx>
          <w:tblCellMar>
            <w:top w:w="28" w:type="dxa"/>
            <w:left w:w="28" w:type="dxa"/>
            <w:bottom w:w="28" w:type="dxa"/>
            <w:right w:w="28" w:type="dxa"/>
          </w:tblCellMar>
        </w:tblPrEx>
        <w:trPr>
          <w:trHeight w:val="425" w:hRule="atLeast"/>
          <w:jc w:val="center"/>
        </w:trPr>
        <w:tc>
          <w:tcPr>
            <w:tcW w:w="4719" w:type="dxa"/>
            <w:gridSpan w:val="3"/>
            <w:tcBorders>
              <w:top w:val="nil"/>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val="0"/>
              <w:snapToGrid w:val="0"/>
              <w:spacing w:line="580" w:lineRule="exact"/>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rPr>
              <w:t>四、结转下年度继续办理</w:t>
            </w:r>
          </w:p>
        </w:tc>
        <w:tc>
          <w:tcPr>
            <w:tcW w:w="85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4</w:t>
            </w:r>
          </w:p>
        </w:tc>
        <w:tc>
          <w:tcPr>
            <w:tcW w:w="643"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5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616"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0</w:t>
            </w:r>
          </w:p>
        </w:tc>
        <w:tc>
          <w:tcPr>
            <w:tcW w:w="44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spacing w:line="580" w:lineRule="exact"/>
              <w:jc w:val="both"/>
              <w:textAlignment w:val="center"/>
              <w:rPr>
                <w:rFonts w:hint="eastAsia" w:ascii="方正书宋_GBK" w:hAnsi="Times New Roman" w:eastAsia="方正书宋_GBK"/>
                <w:color w:val="000000"/>
                <w:kern w:val="0"/>
                <w:szCs w:val="21"/>
                <w:lang w:val="en-US" w:eastAsia="zh-CN"/>
              </w:rPr>
            </w:pPr>
            <w:r>
              <w:rPr>
                <w:rFonts w:hint="default" w:ascii="方正书宋_GBK" w:hAnsi="方正书宋_GBK" w:eastAsia="方正书宋_GBK" w:cs="方正书宋_GBK"/>
                <w:i w:val="0"/>
                <w:color w:val="000000"/>
                <w:kern w:val="0"/>
                <w:sz w:val="21"/>
                <w:szCs w:val="21"/>
                <w:u w:val="none"/>
                <w:lang w:val="en-US" w:eastAsia="zh-CN" w:bidi="ar"/>
              </w:rPr>
              <w:t>4</w:t>
            </w:r>
          </w:p>
        </w:tc>
      </w:tr>
    </w:tbl>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方正黑体_GBK" w:hAnsi="Times New Roman" w:eastAsia="方正黑体_GBK"/>
          <w:snapToGrid w:val="0"/>
          <w:color w:val="000000"/>
          <w:sz w:val="32"/>
          <w:szCs w:val="32"/>
        </w:rPr>
      </w:pPr>
      <w:r>
        <w:rPr>
          <w:rFonts w:hint="eastAsia" w:ascii="方正黑体_GBK" w:hAnsi="Times New Roman" w:eastAsia="方正黑体_GBK"/>
          <w:snapToGrid w:val="0"/>
          <w:color w:val="000000"/>
          <w:sz w:val="32"/>
          <w:szCs w:val="32"/>
        </w:rPr>
        <w:t>四、政府信息公开行政复议、行政诉讼情况</w:t>
      </w:r>
    </w:p>
    <w:tbl>
      <w:tblPr>
        <w:tblStyle w:val="15"/>
        <w:tblW w:w="9072" w:type="dxa"/>
        <w:jc w:val="center"/>
        <w:tblLayout w:type="fixed"/>
        <w:tblCellMar>
          <w:top w:w="28" w:type="dxa"/>
          <w:left w:w="28" w:type="dxa"/>
          <w:bottom w:w="28" w:type="dxa"/>
          <w:right w:w="28" w:type="dxa"/>
        </w:tblCellMar>
      </w:tblPr>
      <w:tblGrid>
        <w:gridCol w:w="605"/>
        <w:gridCol w:w="605"/>
        <w:gridCol w:w="605"/>
        <w:gridCol w:w="605"/>
        <w:gridCol w:w="604"/>
        <w:gridCol w:w="604"/>
        <w:gridCol w:w="604"/>
        <w:gridCol w:w="605"/>
        <w:gridCol w:w="605"/>
        <w:gridCol w:w="605"/>
        <w:gridCol w:w="605"/>
        <w:gridCol w:w="605"/>
        <w:gridCol w:w="605"/>
        <w:gridCol w:w="605"/>
        <w:gridCol w:w="605"/>
      </w:tblGrid>
      <w:tr>
        <w:tblPrEx>
          <w:tblCellMar>
            <w:top w:w="28" w:type="dxa"/>
            <w:left w:w="28" w:type="dxa"/>
            <w:bottom w:w="28" w:type="dxa"/>
            <w:right w:w="28" w:type="dxa"/>
          </w:tblCellMar>
        </w:tblPrEx>
        <w:trPr>
          <w:trHeight w:val="397" w:hRule="atLeast"/>
          <w:jc w:val="center"/>
        </w:trPr>
        <w:tc>
          <w:tcPr>
            <w:tcW w:w="3024" w:type="dxa"/>
            <w:gridSpan w:val="5"/>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行政复议</w:t>
            </w:r>
          </w:p>
        </w:tc>
        <w:tc>
          <w:tcPr>
            <w:tcW w:w="6048" w:type="dxa"/>
            <w:gridSpan w:val="10"/>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行政诉讼</w:t>
            </w:r>
          </w:p>
        </w:tc>
      </w:tr>
      <w:tr>
        <w:tblPrEx>
          <w:tblCellMar>
            <w:top w:w="28" w:type="dxa"/>
            <w:left w:w="28" w:type="dxa"/>
            <w:bottom w:w="28" w:type="dxa"/>
            <w:right w:w="28" w:type="dxa"/>
          </w:tblCellMar>
        </w:tblPrEx>
        <w:trPr>
          <w:trHeight w:val="397" w:hRule="atLeast"/>
          <w:jc w:val="center"/>
        </w:trPr>
        <w:tc>
          <w:tcPr>
            <w:tcW w:w="605" w:type="dxa"/>
            <w:vMerge w:val="restart"/>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结果维持</w:t>
            </w:r>
          </w:p>
        </w:tc>
        <w:tc>
          <w:tcPr>
            <w:tcW w:w="605" w:type="dxa"/>
            <w:vMerge w:val="restart"/>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结果</w:t>
            </w:r>
            <w:r>
              <w:rPr>
                <w:rFonts w:hint="eastAsia" w:ascii="方正黑体_GBK" w:hAnsi="Times New Roman" w:eastAsia="方正黑体_GBK"/>
                <w:color w:val="000000"/>
                <w:kern w:val="0"/>
                <w:szCs w:val="21"/>
              </w:rPr>
              <w:br w:type="textWrapping"/>
            </w:r>
            <w:r>
              <w:rPr>
                <w:rFonts w:hint="eastAsia" w:ascii="方正黑体_GBK" w:hAnsi="Times New Roman" w:eastAsia="方正黑体_GBK"/>
                <w:color w:val="000000"/>
                <w:kern w:val="0"/>
                <w:szCs w:val="21"/>
              </w:rPr>
              <w:t>纠正</w:t>
            </w:r>
          </w:p>
        </w:tc>
        <w:tc>
          <w:tcPr>
            <w:tcW w:w="605" w:type="dxa"/>
            <w:vMerge w:val="restart"/>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其他</w:t>
            </w:r>
            <w:r>
              <w:rPr>
                <w:rFonts w:hint="eastAsia" w:ascii="方正黑体_GBK" w:hAnsi="Times New Roman" w:eastAsia="方正黑体_GBK"/>
                <w:color w:val="000000"/>
                <w:kern w:val="0"/>
                <w:szCs w:val="21"/>
              </w:rPr>
              <w:br w:type="textWrapping"/>
            </w:r>
            <w:r>
              <w:rPr>
                <w:rFonts w:hint="eastAsia" w:ascii="方正黑体_GBK" w:hAnsi="Times New Roman" w:eastAsia="方正黑体_GBK"/>
                <w:color w:val="000000"/>
                <w:kern w:val="0"/>
                <w:szCs w:val="21"/>
              </w:rPr>
              <w:t>结果</w:t>
            </w:r>
          </w:p>
        </w:tc>
        <w:tc>
          <w:tcPr>
            <w:tcW w:w="605" w:type="dxa"/>
            <w:vMerge w:val="restart"/>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尚未</w:t>
            </w:r>
            <w:r>
              <w:rPr>
                <w:rFonts w:hint="eastAsia" w:ascii="方正黑体_GBK" w:hAnsi="Times New Roman" w:eastAsia="方正黑体_GBK"/>
                <w:color w:val="000000"/>
                <w:kern w:val="0"/>
                <w:szCs w:val="21"/>
              </w:rPr>
              <w:br w:type="textWrapping"/>
            </w:r>
            <w:r>
              <w:rPr>
                <w:rFonts w:hint="eastAsia" w:ascii="方正黑体_GBK" w:hAnsi="Times New Roman" w:eastAsia="方正黑体_GBK"/>
                <w:color w:val="000000"/>
                <w:kern w:val="0"/>
                <w:szCs w:val="21"/>
              </w:rPr>
              <w:t>审结</w:t>
            </w:r>
          </w:p>
        </w:tc>
        <w:tc>
          <w:tcPr>
            <w:tcW w:w="604" w:type="dxa"/>
            <w:vMerge w:val="restart"/>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总计</w:t>
            </w:r>
          </w:p>
        </w:tc>
        <w:tc>
          <w:tcPr>
            <w:tcW w:w="3023" w:type="dxa"/>
            <w:gridSpan w:val="5"/>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未经复议直接起诉</w:t>
            </w:r>
          </w:p>
        </w:tc>
        <w:tc>
          <w:tcPr>
            <w:tcW w:w="3025" w:type="dxa"/>
            <w:gridSpan w:val="5"/>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复议后起诉</w:t>
            </w:r>
          </w:p>
        </w:tc>
      </w:tr>
      <w:tr>
        <w:tblPrEx>
          <w:tblCellMar>
            <w:top w:w="28" w:type="dxa"/>
            <w:left w:w="28" w:type="dxa"/>
            <w:bottom w:w="28" w:type="dxa"/>
            <w:right w:w="28" w:type="dxa"/>
          </w:tblCellMar>
        </w:tblPrEx>
        <w:trPr>
          <w:trHeight w:val="397" w:hRule="atLeast"/>
          <w:jc w:val="center"/>
        </w:trPr>
        <w:tc>
          <w:tcPr>
            <w:tcW w:w="605" w:type="dxa"/>
            <w:vMerge w:val="continue"/>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p>
        </w:tc>
        <w:tc>
          <w:tcPr>
            <w:tcW w:w="605" w:type="dxa"/>
            <w:vMerge w:val="continue"/>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p>
        </w:tc>
        <w:tc>
          <w:tcPr>
            <w:tcW w:w="605" w:type="dxa"/>
            <w:vMerge w:val="continue"/>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p>
        </w:tc>
        <w:tc>
          <w:tcPr>
            <w:tcW w:w="605" w:type="dxa"/>
            <w:vMerge w:val="continue"/>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p>
        </w:tc>
        <w:tc>
          <w:tcPr>
            <w:tcW w:w="604" w:type="dxa"/>
            <w:vMerge w:val="continue"/>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p>
        </w:tc>
        <w:tc>
          <w:tcPr>
            <w:tcW w:w="604"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结果</w:t>
            </w:r>
            <w:r>
              <w:rPr>
                <w:rFonts w:hint="eastAsia" w:ascii="方正黑体_GBK" w:hAnsi="Times New Roman" w:eastAsia="方正黑体_GBK"/>
                <w:color w:val="000000"/>
                <w:kern w:val="0"/>
                <w:szCs w:val="21"/>
              </w:rPr>
              <w:br w:type="textWrapping"/>
            </w:r>
            <w:r>
              <w:rPr>
                <w:rFonts w:hint="eastAsia" w:ascii="方正黑体_GBK" w:hAnsi="Times New Roman" w:eastAsia="方正黑体_GBK"/>
                <w:color w:val="000000"/>
                <w:kern w:val="0"/>
                <w:szCs w:val="21"/>
              </w:rPr>
              <w:t>维持</w:t>
            </w:r>
          </w:p>
        </w:tc>
        <w:tc>
          <w:tcPr>
            <w:tcW w:w="604"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结果</w:t>
            </w:r>
            <w:r>
              <w:rPr>
                <w:rFonts w:hint="eastAsia" w:ascii="方正黑体_GBK" w:hAnsi="Times New Roman" w:eastAsia="方正黑体_GBK"/>
                <w:color w:val="000000"/>
                <w:kern w:val="0"/>
                <w:szCs w:val="21"/>
              </w:rPr>
              <w:br w:type="textWrapping"/>
            </w:r>
            <w:r>
              <w:rPr>
                <w:rFonts w:hint="eastAsia" w:ascii="方正黑体_GBK" w:hAnsi="Times New Roman" w:eastAsia="方正黑体_GBK"/>
                <w:color w:val="000000"/>
                <w:kern w:val="0"/>
                <w:szCs w:val="21"/>
              </w:rPr>
              <w:t>纠正</w:t>
            </w:r>
          </w:p>
        </w:tc>
        <w:tc>
          <w:tcPr>
            <w:tcW w:w="60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其他</w:t>
            </w:r>
            <w:r>
              <w:rPr>
                <w:rFonts w:hint="eastAsia" w:ascii="方正黑体_GBK" w:hAnsi="Times New Roman" w:eastAsia="方正黑体_GBK"/>
                <w:color w:val="000000"/>
                <w:kern w:val="0"/>
                <w:szCs w:val="21"/>
              </w:rPr>
              <w:br w:type="textWrapping"/>
            </w:r>
            <w:r>
              <w:rPr>
                <w:rFonts w:hint="eastAsia" w:ascii="方正黑体_GBK" w:hAnsi="Times New Roman" w:eastAsia="方正黑体_GBK"/>
                <w:color w:val="000000"/>
                <w:kern w:val="0"/>
                <w:szCs w:val="21"/>
              </w:rPr>
              <w:t>结果</w:t>
            </w:r>
          </w:p>
        </w:tc>
        <w:tc>
          <w:tcPr>
            <w:tcW w:w="60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尚未</w:t>
            </w:r>
            <w:r>
              <w:rPr>
                <w:rFonts w:hint="eastAsia" w:ascii="方正黑体_GBK" w:hAnsi="Times New Roman" w:eastAsia="方正黑体_GBK"/>
                <w:color w:val="000000"/>
                <w:kern w:val="0"/>
                <w:szCs w:val="21"/>
              </w:rPr>
              <w:br w:type="textWrapping"/>
            </w:r>
            <w:r>
              <w:rPr>
                <w:rFonts w:hint="eastAsia" w:ascii="方正黑体_GBK" w:hAnsi="Times New Roman" w:eastAsia="方正黑体_GBK"/>
                <w:color w:val="000000"/>
                <w:kern w:val="0"/>
                <w:szCs w:val="21"/>
              </w:rPr>
              <w:t>审结</w:t>
            </w:r>
          </w:p>
        </w:tc>
        <w:tc>
          <w:tcPr>
            <w:tcW w:w="60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总计</w:t>
            </w:r>
          </w:p>
        </w:tc>
        <w:tc>
          <w:tcPr>
            <w:tcW w:w="60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结果</w:t>
            </w:r>
            <w:r>
              <w:rPr>
                <w:rFonts w:hint="eastAsia" w:ascii="方正黑体_GBK" w:hAnsi="Times New Roman" w:eastAsia="方正黑体_GBK"/>
                <w:color w:val="000000"/>
                <w:kern w:val="0"/>
                <w:szCs w:val="21"/>
              </w:rPr>
              <w:br w:type="textWrapping"/>
            </w:r>
            <w:r>
              <w:rPr>
                <w:rFonts w:hint="eastAsia" w:ascii="方正黑体_GBK" w:hAnsi="Times New Roman" w:eastAsia="方正黑体_GBK"/>
                <w:color w:val="000000"/>
                <w:kern w:val="0"/>
                <w:szCs w:val="21"/>
              </w:rPr>
              <w:t>维持</w:t>
            </w:r>
          </w:p>
        </w:tc>
        <w:tc>
          <w:tcPr>
            <w:tcW w:w="60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结果</w:t>
            </w:r>
            <w:r>
              <w:rPr>
                <w:rFonts w:hint="eastAsia" w:ascii="方正黑体_GBK" w:hAnsi="Times New Roman" w:eastAsia="方正黑体_GBK"/>
                <w:color w:val="000000"/>
                <w:kern w:val="0"/>
                <w:szCs w:val="21"/>
              </w:rPr>
              <w:br w:type="textWrapping"/>
            </w:r>
            <w:r>
              <w:rPr>
                <w:rFonts w:hint="eastAsia" w:ascii="方正黑体_GBK" w:hAnsi="Times New Roman" w:eastAsia="方正黑体_GBK"/>
                <w:color w:val="000000"/>
                <w:kern w:val="0"/>
                <w:szCs w:val="21"/>
              </w:rPr>
              <w:t>纠正</w:t>
            </w:r>
          </w:p>
        </w:tc>
        <w:tc>
          <w:tcPr>
            <w:tcW w:w="60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其他</w:t>
            </w:r>
            <w:r>
              <w:rPr>
                <w:rFonts w:hint="eastAsia" w:ascii="方正黑体_GBK" w:hAnsi="Times New Roman" w:eastAsia="方正黑体_GBK"/>
                <w:color w:val="000000"/>
                <w:kern w:val="0"/>
                <w:szCs w:val="21"/>
              </w:rPr>
              <w:br w:type="textWrapping"/>
            </w:r>
            <w:r>
              <w:rPr>
                <w:rFonts w:hint="eastAsia" w:ascii="方正黑体_GBK" w:hAnsi="Times New Roman" w:eastAsia="方正黑体_GBK"/>
                <w:color w:val="000000"/>
                <w:kern w:val="0"/>
                <w:szCs w:val="21"/>
              </w:rPr>
              <w:t>结果</w:t>
            </w:r>
          </w:p>
        </w:tc>
        <w:tc>
          <w:tcPr>
            <w:tcW w:w="60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尚未</w:t>
            </w:r>
            <w:r>
              <w:rPr>
                <w:rFonts w:hint="eastAsia" w:ascii="方正黑体_GBK" w:hAnsi="Times New Roman" w:eastAsia="方正黑体_GBK"/>
                <w:color w:val="000000"/>
                <w:kern w:val="0"/>
                <w:szCs w:val="21"/>
              </w:rPr>
              <w:br w:type="textWrapping"/>
            </w:r>
            <w:r>
              <w:rPr>
                <w:rFonts w:hint="eastAsia" w:ascii="方正黑体_GBK" w:hAnsi="Times New Roman" w:eastAsia="方正黑体_GBK"/>
                <w:color w:val="000000"/>
                <w:kern w:val="0"/>
                <w:szCs w:val="21"/>
              </w:rPr>
              <w:t>审结</w:t>
            </w:r>
          </w:p>
        </w:tc>
        <w:tc>
          <w:tcPr>
            <w:tcW w:w="605" w:type="dxa"/>
            <w:tcBorders>
              <w:top w:val="single" w:color="auto" w:sz="8" w:space="0"/>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黑体_GBK" w:hAnsi="Times New Roman" w:eastAsia="方正黑体_GBK"/>
                <w:color w:val="000000"/>
                <w:kern w:val="0"/>
                <w:szCs w:val="21"/>
              </w:rPr>
            </w:pPr>
            <w:r>
              <w:rPr>
                <w:rFonts w:hint="eastAsia" w:ascii="方正黑体_GBK" w:hAnsi="Times New Roman" w:eastAsia="方正黑体_GBK"/>
                <w:color w:val="000000"/>
                <w:kern w:val="0"/>
                <w:szCs w:val="21"/>
              </w:rPr>
              <w:t>总计</w:t>
            </w:r>
          </w:p>
        </w:tc>
      </w:tr>
      <w:tr>
        <w:tblPrEx>
          <w:tblCellMar>
            <w:top w:w="28" w:type="dxa"/>
            <w:left w:w="28" w:type="dxa"/>
            <w:bottom w:w="28" w:type="dxa"/>
            <w:right w:w="28" w:type="dxa"/>
          </w:tblCellMar>
        </w:tblPrEx>
        <w:trPr>
          <w:trHeight w:val="397" w:hRule="atLeast"/>
          <w:jc w:val="center"/>
        </w:trPr>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1</w:t>
            </w:r>
          </w:p>
        </w:tc>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0</w:t>
            </w:r>
          </w:p>
        </w:tc>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0</w:t>
            </w:r>
          </w:p>
        </w:tc>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1</w:t>
            </w:r>
          </w:p>
        </w:tc>
        <w:tc>
          <w:tcPr>
            <w:tcW w:w="604"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2</w:t>
            </w:r>
          </w:p>
        </w:tc>
        <w:tc>
          <w:tcPr>
            <w:tcW w:w="604"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0</w:t>
            </w:r>
          </w:p>
        </w:tc>
        <w:tc>
          <w:tcPr>
            <w:tcW w:w="604"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0</w:t>
            </w:r>
          </w:p>
        </w:tc>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1（撤诉）</w:t>
            </w:r>
          </w:p>
        </w:tc>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0</w:t>
            </w:r>
          </w:p>
        </w:tc>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1</w:t>
            </w:r>
          </w:p>
        </w:tc>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0</w:t>
            </w:r>
          </w:p>
        </w:tc>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0</w:t>
            </w:r>
          </w:p>
        </w:tc>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0</w:t>
            </w:r>
          </w:p>
        </w:tc>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0</w:t>
            </w:r>
          </w:p>
        </w:tc>
        <w:tc>
          <w:tcPr>
            <w:tcW w:w="605" w:type="dxa"/>
            <w:tcBorders>
              <w:top w:val="nil"/>
              <w:left w:val="single" w:color="auto" w:sz="8" w:space="0"/>
              <w:bottom w:val="single" w:color="auto" w:sz="8" w:space="0"/>
              <w:right w:val="single" w:color="auto" w:sz="8" w:space="0"/>
            </w:tcBorders>
            <w:tcMar>
              <w:top w:w="28" w:type="dxa"/>
              <w:left w:w="28" w:type="dxa"/>
              <w:bottom w:w="28" w:type="dxa"/>
              <w:right w:w="28" w:type="dxa"/>
            </w:tcMar>
            <w:vAlign w:val="center"/>
          </w:tcPr>
          <w:p>
            <w:pPr>
              <w:keepNext w:val="0"/>
              <w:keepLines w:val="0"/>
              <w:pageBreakBefore w:val="0"/>
              <w:kinsoku/>
              <w:wordWrap/>
              <w:overflowPunct/>
              <w:topLinePunct w:val="0"/>
              <w:autoSpaceDE/>
              <w:autoSpaceDN/>
              <w:bidi w:val="0"/>
              <w:adjustRightInd w:val="0"/>
              <w:snapToGrid w:val="0"/>
              <w:spacing w:line="580" w:lineRule="exact"/>
              <w:jc w:val="center"/>
              <w:rPr>
                <w:rFonts w:hint="eastAsia" w:ascii="方正书宋_GBK" w:hAnsi="Times New Roman" w:eastAsia="方正书宋_GBK"/>
                <w:color w:val="000000"/>
                <w:kern w:val="0"/>
                <w:szCs w:val="21"/>
              </w:rPr>
            </w:pPr>
            <w:r>
              <w:rPr>
                <w:rFonts w:hint="eastAsia" w:ascii="方正书宋_GBK" w:hAnsi="Times New Roman" w:eastAsia="方正书宋_GBK"/>
                <w:color w:val="000000"/>
                <w:kern w:val="0"/>
                <w:szCs w:val="21"/>
                <w:lang w:val="en-US" w:eastAsia="zh-CN"/>
              </w:rPr>
              <w:t>0</w:t>
            </w:r>
          </w:p>
        </w:tc>
      </w:tr>
    </w:tbl>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ascii="方正黑体_GBK" w:hAnsi="Times New Roman" w:eastAsia="方正黑体_GBK"/>
          <w:snapToGrid w:val="0"/>
          <w:color w:val="000000"/>
          <w:sz w:val="32"/>
          <w:szCs w:val="32"/>
        </w:rPr>
      </w:pPr>
      <w:r>
        <w:rPr>
          <w:rFonts w:hint="eastAsia" w:ascii="方正黑体_GBK" w:hAnsi="Times New Roman" w:eastAsia="方正黑体_GBK"/>
          <w:snapToGrid w:val="0"/>
          <w:color w:val="000000"/>
          <w:sz w:val="32"/>
          <w:szCs w:val="32"/>
        </w:rPr>
        <w:t>五、存在的主要问题及改进情况</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针对2020年度出现的信息公开的多样性有待进一步加强，互动形式单一，发展改革系统基层政务公开工作有待加强等问题，自治区发展改革委积极努力，主要作了以下工作：一是设立“多样解读”专栏，多形式开展政策解读，集中发布；二是加大政策解读比例，对所有规范性文件、政策文件等均要求开展政策解读。</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2021年存在的主要问题：</w:t>
      </w:r>
      <w:r>
        <w:rPr>
          <w:rFonts w:hint="eastAsia" w:ascii="仿宋_GB2312" w:hAnsi="仿宋_GB2312" w:eastAsia="仿宋_GB2312" w:cs="仿宋_GB2312"/>
          <w:b/>
          <w:bCs/>
          <w:snapToGrid w:val="0"/>
          <w:color w:val="000000"/>
          <w:sz w:val="32"/>
          <w:szCs w:val="32"/>
          <w:lang w:val="en-US" w:eastAsia="zh-CN"/>
        </w:rPr>
        <w:t>一是</w:t>
      </w:r>
      <w:r>
        <w:rPr>
          <w:rFonts w:hint="eastAsia" w:ascii="仿宋_GB2312" w:hAnsi="仿宋_GB2312" w:eastAsia="仿宋_GB2312" w:cs="仿宋_GB2312"/>
          <w:snapToGrid w:val="0"/>
          <w:color w:val="000000"/>
          <w:sz w:val="32"/>
          <w:szCs w:val="32"/>
          <w:lang w:val="en-US" w:eastAsia="zh-CN"/>
        </w:rPr>
        <w:t>部门网站栏目设置不够规范，法定主动公开内容目录设置不全；</w:t>
      </w:r>
      <w:r>
        <w:rPr>
          <w:rFonts w:hint="eastAsia" w:ascii="仿宋_GB2312" w:hAnsi="仿宋_GB2312" w:eastAsia="仿宋_GB2312" w:cs="仿宋_GB2312"/>
          <w:b/>
          <w:bCs/>
          <w:snapToGrid w:val="0"/>
          <w:color w:val="000000"/>
          <w:sz w:val="32"/>
          <w:szCs w:val="32"/>
          <w:lang w:val="en-US" w:eastAsia="zh-CN"/>
        </w:rPr>
        <w:t>二是</w:t>
      </w:r>
      <w:r>
        <w:rPr>
          <w:rFonts w:hint="eastAsia" w:ascii="仿宋_GB2312" w:hAnsi="仿宋_GB2312" w:eastAsia="仿宋_GB2312" w:cs="仿宋_GB2312"/>
          <w:snapToGrid w:val="0"/>
          <w:color w:val="000000"/>
          <w:sz w:val="32"/>
          <w:szCs w:val="32"/>
          <w:lang w:val="en-US" w:eastAsia="zh-CN"/>
        </w:rPr>
        <w:t>政策文件解读深度和广度有待进一步提高；</w:t>
      </w:r>
      <w:r>
        <w:rPr>
          <w:rFonts w:hint="eastAsia" w:ascii="仿宋_GB2312" w:hAnsi="仿宋_GB2312" w:eastAsia="仿宋_GB2312" w:cs="仿宋_GB2312"/>
          <w:b/>
          <w:bCs/>
          <w:snapToGrid w:val="0"/>
          <w:color w:val="000000"/>
          <w:sz w:val="32"/>
          <w:szCs w:val="32"/>
          <w:lang w:val="en-US" w:eastAsia="zh-CN"/>
        </w:rPr>
        <w:t>三是</w:t>
      </w:r>
      <w:r>
        <w:rPr>
          <w:rFonts w:hint="eastAsia" w:ascii="仿宋_GB2312" w:hAnsi="仿宋_GB2312" w:eastAsia="仿宋_GB2312" w:cs="仿宋_GB2312"/>
          <w:snapToGrid w:val="0"/>
          <w:color w:val="000000"/>
          <w:sz w:val="32"/>
          <w:szCs w:val="32"/>
          <w:lang w:val="en-US" w:eastAsia="zh-CN"/>
        </w:rPr>
        <w:t>政策解读形式单一，解读方式不够丰富。</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改进情况：</w:t>
      </w:r>
      <w:r>
        <w:rPr>
          <w:rFonts w:hint="eastAsia" w:ascii="仿宋_GB2312" w:hAnsi="仿宋_GB2312" w:eastAsia="仿宋_GB2312" w:cs="仿宋_GB2312"/>
          <w:b/>
          <w:bCs/>
          <w:snapToGrid w:val="0"/>
          <w:color w:val="000000"/>
          <w:sz w:val="32"/>
          <w:szCs w:val="32"/>
          <w:lang w:val="en-US" w:eastAsia="zh-CN"/>
        </w:rPr>
        <w:t>一是</w:t>
      </w:r>
      <w:r>
        <w:rPr>
          <w:rFonts w:hint="eastAsia" w:ascii="仿宋_GB2312" w:hAnsi="仿宋_GB2312" w:eastAsia="仿宋_GB2312" w:cs="仿宋_GB2312"/>
          <w:b w:val="0"/>
          <w:bCs w:val="0"/>
          <w:snapToGrid w:val="0"/>
          <w:color w:val="000000"/>
          <w:sz w:val="32"/>
          <w:szCs w:val="32"/>
          <w:lang w:val="en-US" w:eastAsia="zh-CN"/>
        </w:rPr>
        <w:t>优化</w:t>
      </w:r>
      <w:r>
        <w:rPr>
          <w:rFonts w:hint="eastAsia" w:ascii="仿宋_GB2312" w:hAnsi="仿宋_GB2312" w:eastAsia="仿宋_GB2312" w:cs="仿宋_GB2312"/>
          <w:snapToGrid w:val="0"/>
          <w:color w:val="000000"/>
          <w:sz w:val="32"/>
          <w:szCs w:val="32"/>
          <w:lang w:val="en-US" w:eastAsia="zh-CN"/>
        </w:rPr>
        <w:t>网站页面设计、规范公开栏目，政府信息公开栏目共开设政府信息公开指南、信息公开目录、政府信息公开制度、法定主动公开内容、政府信息公开年报、依申请公开以及政府网站监管报表等7大信息板块；</w:t>
      </w:r>
      <w:r>
        <w:rPr>
          <w:rFonts w:hint="eastAsia" w:ascii="仿宋_GB2312" w:hAnsi="仿宋_GB2312" w:eastAsia="仿宋_GB2312" w:cs="仿宋_GB2312"/>
          <w:b/>
          <w:bCs/>
          <w:snapToGrid w:val="0"/>
          <w:color w:val="000000"/>
          <w:sz w:val="32"/>
          <w:szCs w:val="32"/>
          <w:lang w:val="en-US" w:eastAsia="zh-CN"/>
        </w:rPr>
        <w:t>二是</w:t>
      </w:r>
      <w:r>
        <w:rPr>
          <w:rFonts w:hint="eastAsia" w:ascii="仿宋_GB2312" w:hAnsi="仿宋_GB2312" w:eastAsia="仿宋_GB2312" w:cs="仿宋_GB2312"/>
          <w:snapToGrid w:val="0"/>
          <w:color w:val="000000"/>
          <w:sz w:val="32"/>
          <w:szCs w:val="32"/>
          <w:lang w:val="en-US" w:eastAsia="zh-CN"/>
        </w:rPr>
        <w:t>进一步提高政策解读质量，聚焦群众热点，精准解读，准确传递政策意图，要求全委对规范性文件和与民生关系密切、社会关注度高或专业性强的文件进行政策解读，政策解读与政策文件栏的文件一一关联，政策解读比例达100%；</w:t>
      </w:r>
      <w:r>
        <w:rPr>
          <w:rFonts w:hint="eastAsia" w:ascii="仿宋_GB2312" w:hAnsi="仿宋_GB2312" w:eastAsia="仿宋_GB2312" w:cs="仿宋_GB2312"/>
          <w:b/>
          <w:bCs/>
          <w:snapToGrid w:val="0"/>
          <w:color w:val="000000"/>
          <w:sz w:val="32"/>
          <w:szCs w:val="32"/>
          <w:lang w:val="en-US" w:eastAsia="zh-CN"/>
        </w:rPr>
        <w:t>三是</w:t>
      </w:r>
      <w:r>
        <w:rPr>
          <w:rFonts w:hint="eastAsia" w:ascii="仿宋_GB2312" w:hAnsi="仿宋_GB2312" w:eastAsia="仿宋_GB2312" w:cs="仿宋_GB2312"/>
          <w:snapToGrid w:val="0"/>
          <w:color w:val="000000"/>
          <w:sz w:val="32"/>
          <w:szCs w:val="32"/>
          <w:lang w:val="en-US" w:eastAsia="zh-CN"/>
        </w:rPr>
        <w:t>丰富政策解读形式，设立“多样解读”栏目集中发布非文字类的政策解读，运用生动活泼、通俗易懂的语言以及图表图解、新闻发布等公众喜闻乐见的形式提升解读效果。</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方正黑体_GBK" w:hAnsi="Times New Roman" w:eastAsia="方正黑体_GBK"/>
          <w:snapToGrid w:val="0"/>
          <w:color w:val="000000"/>
          <w:sz w:val="32"/>
          <w:szCs w:val="32"/>
        </w:rPr>
      </w:pPr>
      <w:r>
        <w:rPr>
          <w:rFonts w:hint="eastAsia" w:ascii="方正黑体_GBK" w:hAnsi="Times New Roman" w:eastAsia="方正黑体_GBK"/>
          <w:snapToGrid w:val="0"/>
          <w:color w:val="000000"/>
          <w:sz w:val="32"/>
          <w:szCs w:val="32"/>
        </w:rPr>
        <w:t>六、其他需要报告的事项</w:t>
      </w:r>
    </w:p>
    <w:p>
      <w:pPr>
        <w:keepNext w:val="0"/>
        <w:keepLines w:val="0"/>
        <w:pageBreakBefore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贯彻执行国务院办公厅</w:t>
      </w:r>
      <w:r>
        <w:rPr>
          <w:rFonts w:hint="default" w:ascii="仿宋_GB2312" w:hAnsi="仿宋_GB2312" w:eastAsia="仿宋_GB2312" w:cs="仿宋_GB2312"/>
          <w:snapToGrid w:val="0"/>
          <w:color w:val="000000"/>
          <w:sz w:val="32"/>
          <w:szCs w:val="32"/>
          <w:lang w:val="en-US" w:eastAsia="zh-CN"/>
        </w:rPr>
        <w:t>《政府信息公开信息处理费管理办法》，2021年未收取信息处理费。本年度报告中所列数据的统计期限自2021年1月1日起至12月31日止。本年度报告可在广西壮族自治区发展和改革委员会部门网站政府信息公开专栏查询。</w:t>
      </w:r>
    </w:p>
    <w:sectPr>
      <w:footerReference r:id="rId3" w:type="default"/>
      <w:pgSz w:w="11906" w:h="16838"/>
      <w:pgMar w:top="1814" w:right="1418" w:bottom="1531" w:left="1418" w:header="851"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adjustRightInd w:val="0"/>
      <w:rPr>
        <w:rStyle w:val="18"/>
        <w:rFonts w:ascii="Times New Roman" w:hAnsi="Times New Roman"/>
        <w:sz w:val="28"/>
        <w:szCs w:val="32"/>
      </w:rPr>
    </w:pPr>
    <w:r>
      <w:rPr>
        <w:rStyle w:val="18"/>
        <w:rFonts w:ascii="宋体" w:hAnsi="宋体"/>
        <w:sz w:val="28"/>
        <w:szCs w:val="32"/>
      </w:rPr>
      <w:t>—</w:t>
    </w:r>
    <w:r>
      <w:rPr>
        <w:rStyle w:val="18"/>
        <w:rFonts w:hint="eastAsia" w:ascii="宋体" w:hAnsi="宋体"/>
        <w:sz w:val="28"/>
        <w:szCs w:val="32"/>
      </w:rPr>
      <w:t xml:space="preserve"> </w:t>
    </w:r>
    <w:r>
      <w:rPr>
        <w:rFonts w:ascii="Times New Roman" w:hAnsi="Times New Roman"/>
        <w:sz w:val="28"/>
        <w:szCs w:val="32"/>
      </w:rPr>
      <w:fldChar w:fldCharType="begin"/>
    </w:r>
    <w:r>
      <w:rPr>
        <w:rStyle w:val="18"/>
        <w:rFonts w:ascii="Times New Roman" w:hAnsi="Times New Roman"/>
        <w:sz w:val="28"/>
        <w:szCs w:val="32"/>
      </w:rPr>
      <w:instrText xml:space="preserve">PAGE  </w:instrText>
    </w:r>
    <w:r>
      <w:rPr>
        <w:rFonts w:ascii="Times New Roman" w:hAnsi="Times New Roman"/>
        <w:sz w:val="28"/>
        <w:szCs w:val="32"/>
      </w:rPr>
      <w:fldChar w:fldCharType="separate"/>
    </w:r>
    <w:r>
      <w:rPr>
        <w:rStyle w:val="18"/>
        <w:rFonts w:ascii="Times New Roman" w:hAnsi="Times New Roman"/>
        <w:sz w:val="28"/>
        <w:szCs w:val="32"/>
      </w:rPr>
      <w:t>3</w:t>
    </w:r>
    <w:r>
      <w:rPr>
        <w:rFonts w:ascii="Times New Roman" w:hAnsi="Times New Roman"/>
        <w:sz w:val="28"/>
        <w:szCs w:val="32"/>
      </w:rPr>
      <w:fldChar w:fldCharType="end"/>
    </w:r>
    <w:r>
      <w:rPr>
        <w:rStyle w:val="18"/>
        <w:rFonts w:hint="eastAsia" w:ascii="宋体" w:hAnsi="宋体"/>
        <w:sz w:val="28"/>
        <w:szCs w:val="32"/>
      </w:rPr>
      <w:t xml:space="preserve"> </w:t>
    </w:r>
    <w:r>
      <w:rPr>
        <w:rStyle w:val="18"/>
        <w:rFonts w:ascii="宋体" w:hAnsi="宋体"/>
        <w:sz w:val="28"/>
        <w:szCs w:val="32"/>
      </w:rPr>
      <w:t>—</w:t>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0MzliOGMzY2JjMzdhNTI3N2UwMTdiZTJkNGFlZGEifQ=="/>
  </w:docVars>
  <w:rsids>
    <w:rsidRoot w:val="005C5F45"/>
    <w:rsid w:val="00017351"/>
    <w:rsid w:val="00017860"/>
    <w:rsid w:val="00025D9F"/>
    <w:rsid w:val="000342B9"/>
    <w:rsid w:val="00057AE1"/>
    <w:rsid w:val="00062E40"/>
    <w:rsid w:val="00066522"/>
    <w:rsid w:val="0008211A"/>
    <w:rsid w:val="00086DE2"/>
    <w:rsid w:val="00087196"/>
    <w:rsid w:val="000948D3"/>
    <w:rsid w:val="000958D1"/>
    <w:rsid w:val="000B2DF2"/>
    <w:rsid w:val="000D4695"/>
    <w:rsid w:val="000D5355"/>
    <w:rsid w:val="000D6063"/>
    <w:rsid w:val="001023D3"/>
    <w:rsid w:val="001027CC"/>
    <w:rsid w:val="00127E96"/>
    <w:rsid w:val="00161B4E"/>
    <w:rsid w:val="00167CD7"/>
    <w:rsid w:val="00183FF8"/>
    <w:rsid w:val="00185046"/>
    <w:rsid w:val="00186E5D"/>
    <w:rsid w:val="0019466E"/>
    <w:rsid w:val="00196A40"/>
    <w:rsid w:val="001B4909"/>
    <w:rsid w:val="001C330C"/>
    <w:rsid w:val="001C46C4"/>
    <w:rsid w:val="001C4C43"/>
    <w:rsid w:val="001C55DE"/>
    <w:rsid w:val="001C7D84"/>
    <w:rsid w:val="001D74CB"/>
    <w:rsid w:val="001E1AB3"/>
    <w:rsid w:val="001E2E95"/>
    <w:rsid w:val="001E3741"/>
    <w:rsid w:val="001F0906"/>
    <w:rsid w:val="001F702C"/>
    <w:rsid w:val="002019AB"/>
    <w:rsid w:val="0020263E"/>
    <w:rsid w:val="00211675"/>
    <w:rsid w:val="0021382C"/>
    <w:rsid w:val="00241A5C"/>
    <w:rsid w:val="0027347A"/>
    <w:rsid w:val="00274643"/>
    <w:rsid w:val="00283E16"/>
    <w:rsid w:val="00296178"/>
    <w:rsid w:val="002A080B"/>
    <w:rsid w:val="002A21EF"/>
    <w:rsid w:val="002A61F0"/>
    <w:rsid w:val="002D7F35"/>
    <w:rsid w:val="002E6527"/>
    <w:rsid w:val="0030188B"/>
    <w:rsid w:val="00302AD5"/>
    <w:rsid w:val="003227D2"/>
    <w:rsid w:val="0036169B"/>
    <w:rsid w:val="003920CB"/>
    <w:rsid w:val="003B30E7"/>
    <w:rsid w:val="003C7E5F"/>
    <w:rsid w:val="003D5383"/>
    <w:rsid w:val="003E26BB"/>
    <w:rsid w:val="003E7801"/>
    <w:rsid w:val="003F7DA7"/>
    <w:rsid w:val="00401F32"/>
    <w:rsid w:val="00414650"/>
    <w:rsid w:val="00416E10"/>
    <w:rsid w:val="00446485"/>
    <w:rsid w:val="00461D31"/>
    <w:rsid w:val="0047767D"/>
    <w:rsid w:val="0048306B"/>
    <w:rsid w:val="004C4D26"/>
    <w:rsid w:val="004D03DC"/>
    <w:rsid w:val="004D28CB"/>
    <w:rsid w:val="004F578A"/>
    <w:rsid w:val="005101DB"/>
    <w:rsid w:val="00540685"/>
    <w:rsid w:val="00540BDE"/>
    <w:rsid w:val="005417F5"/>
    <w:rsid w:val="00550E31"/>
    <w:rsid w:val="0056699D"/>
    <w:rsid w:val="00567A99"/>
    <w:rsid w:val="00576C18"/>
    <w:rsid w:val="0059346E"/>
    <w:rsid w:val="005974D1"/>
    <w:rsid w:val="005B347E"/>
    <w:rsid w:val="005C31FC"/>
    <w:rsid w:val="005C5F45"/>
    <w:rsid w:val="005D111F"/>
    <w:rsid w:val="005D74C6"/>
    <w:rsid w:val="005D7D3A"/>
    <w:rsid w:val="005D7E54"/>
    <w:rsid w:val="005F4E33"/>
    <w:rsid w:val="0062722B"/>
    <w:rsid w:val="00651A1D"/>
    <w:rsid w:val="0066538C"/>
    <w:rsid w:val="00670F67"/>
    <w:rsid w:val="00672CBE"/>
    <w:rsid w:val="00677FA2"/>
    <w:rsid w:val="0068259C"/>
    <w:rsid w:val="00692800"/>
    <w:rsid w:val="0069292E"/>
    <w:rsid w:val="006A1A73"/>
    <w:rsid w:val="006C1581"/>
    <w:rsid w:val="006C45D2"/>
    <w:rsid w:val="006D5130"/>
    <w:rsid w:val="006E78DA"/>
    <w:rsid w:val="006F022A"/>
    <w:rsid w:val="0070260A"/>
    <w:rsid w:val="007272C2"/>
    <w:rsid w:val="00737CF7"/>
    <w:rsid w:val="00747111"/>
    <w:rsid w:val="0075648A"/>
    <w:rsid w:val="00760A84"/>
    <w:rsid w:val="00761579"/>
    <w:rsid w:val="007652BF"/>
    <w:rsid w:val="0077347B"/>
    <w:rsid w:val="007904B3"/>
    <w:rsid w:val="00794791"/>
    <w:rsid w:val="007970B4"/>
    <w:rsid w:val="007C1315"/>
    <w:rsid w:val="007C71C4"/>
    <w:rsid w:val="007D22DF"/>
    <w:rsid w:val="007D5541"/>
    <w:rsid w:val="00807A2E"/>
    <w:rsid w:val="008122B3"/>
    <w:rsid w:val="0081649F"/>
    <w:rsid w:val="0081721A"/>
    <w:rsid w:val="008311D8"/>
    <w:rsid w:val="0086062F"/>
    <w:rsid w:val="008632EE"/>
    <w:rsid w:val="0087215B"/>
    <w:rsid w:val="00896FC4"/>
    <w:rsid w:val="008A0587"/>
    <w:rsid w:val="008B3668"/>
    <w:rsid w:val="008E359A"/>
    <w:rsid w:val="009039BF"/>
    <w:rsid w:val="00912BE9"/>
    <w:rsid w:val="00917EF3"/>
    <w:rsid w:val="00923961"/>
    <w:rsid w:val="00923AF6"/>
    <w:rsid w:val="009361E3"/>
    <w:rsid w:val="009461CB"/>
    <w:rsid w:val="00956A3B"/>
    <w:rsid w:val="009843F7"/>
    <w:rsid w:val="009941C6"/>
    <w:rsid w:val="00997005"/>
    <w:rsid w:val="009A58E4"/>
    <w:rsid w:val="009A5F5D"/>
    <w:rsid w:val="009A5F92"/>
    <w:rsid w:val="009A6220"/>
    <w:rsid w:val="009E3D35"/>
    <w:rsid w:val="009E4EF2"/>
    <w:rsid w:val="009E5BC0"/>
    <w:rsid w:val="00A05026"/>
    <w:rsid w:val="00A25A02"/>
    <w:rsid w:val="00A54135"/>
    <w:rsid w:val="00A63209"/>
    <w:rsid w:val="00A67BC6"/>
    <w:rsid w:val="00A7215E"/>
    <w:rsid w:val="00A80ABE"/>
    <w:rsid w:val="00A81D3B"/>
    <w:rsid w:val="00A948AC"/>
    <w:rsid w:val="00A9526E"/>
    <w:rsid w:val="00A97086"/>
    <w:rsid w:val="00AA0FA2"/>
    <w:rsid w:val="00AB12D1"/>
    <w:rsid w:val="00AC3D95"/>
    <w:rsid w:val="00AD0298"/>
    <w:rsid w:val="00AD7013"/>
    <w:rsid w:val="00AE4EEB"/>
    <w:rsid w:val="00AF079D"/>
    <w:rsid w:val="00AF6163"/>
    <w:rsid w:val="00B16128"/>
    <w:rsid w:val="00B22B03"/>
    <w:rsid w:val="00B32B8B"/>
    <w:rsid w:val="00B41FE3"/>
    <w:rsid w:val="00B45C41"/>
    <w:rsid w:val="00B513C0"/>
    <w:rsid w:val="00B52FC4"/>
    <w:rsid w:val="00B530E7"/>
    <w:rsid w:val="00B81721"/>
    <w:rsid w:val="00B8684C"/>
    <w:rsid w:val="00B92574"/>
    <w:rsid w:val="00B95E41"/>
    <w:rsid w:val="00BA3214"/>
    <w:rsid w:val="00BD0474"/>
    <w:rsid w:val="00BD0A8D"/>
    <w:rsid w:val="00BD2B17"/>
    <w:rsid w:val="00BD368B"/>
    <w:rsid w:val="00BE6D74"/>
    <w:rsid w:val="00BF01FD"/>
    <w:rsid w:val="00C0017D"/>
    <w:rsid w:val="00C03244"/>
    <w:rsid w:val="00C0657F"/>
    <w:rsid w:val="00C16840"/>
    <w:rsid w:val="00C52F51"/>
    <w:rsid w:val="00C605D9"/>
    <w:rsid w:val="00C65DF1"/>
    <w:rsid w:val="00CC3F40"/>
    <w:rsid w:val="00CD53B9"/>
    <w:rsid w:val="00CD746E"/>
    <w:rsid w:val="00CE24F9"/>
    <w:rsid w:val="00CE6F12"/>
    <w:rsid w:val="00D13C8A"/>
    <w:rsid w:val="00D16789"/>
    <w:rsid w:val="00D375BB"/>
    <w:rsid w:val="00D53903"/>
    <w:rsid w:val="00D53E5F"/>
    <w:rsid w:val="00D640A9"/>
    <w:rsid w:val="00D65E14"/>
    <w:rsid w:val="00D77092"/>
    <w:rsid w:val="00D80DDA"/>
    <w:rsid w:val="00DA58A1"/>
    <w:rsid w:val="00E00C84"/>
    <w:rsid w:val="00E025B4"/>
    <w:rsid w:val="00E034F1"/>
    <w:rsid w:val="00E148EB"/>
    <w:rsid w:val="00E171EE"/>
    <w:rsid w:val="00E42F93"/>
    <w:rsid w:val="00E465EA"/>
    <w:rsid w:val="00E46619"/>
    <w:rsid w:val="00E46949"/>
    <w:rsid w:val="00E47917"/>
    <w:rsid w:val="00E67A70"/>
    <w:rsid w:val="00E8292B"/>
    <w:rsid w:val="00E920D5"/>
    <w:rsid w:val="00EA1608"/>
    <w:rsid w:val="00EA1ED4"/>
    <w:rsid w:val="00EA4585"/>
    <w:rsid w:val="00EB6BEF"/>
    <w:rsid w:val="00EC23FC"/>
    <w:rsid w:val="00ED2A7F"/>
    <w:rsid w:val="00EF0DB9"/>
    <w:rsid w:val="00EF17B8"/>
    <w:rsid w:val="00F020A4"/>
    <w:rsid w:val="00F03ABF"/>
    <w:rsid w:val="00F05253"/>
    <w:rsid w:val="00F11780"/>
    <w:rsid w:val="00F3381D"/>
    <w:rsid w:val="00F40B32"/>
    <w:rsid w:val="00F42822"/>
    <w:rsid w:val="00F46827"/>
    <w:rsid w:val="00F531CB"/>
    <w:rsid w:val="00F714EB"/>
    <w:rsid w:val="00F97FD7"/>
    <w:rsid w:val="00FC10E2"/>
    <w:rsid w:val="00FC73A2"/>
    <w:rsid w:val="00FE77D7"/>
    <w:rsid w:val="00FF581A"/>
    <w:rsid w:val="04836493"/>
    <w:rsid w:val="09EA7404"/>
    <w:rsid w:val="0AEF4A4E"/>
    <w:rsid w:val="0B4F75E3"/>
    <w:rsid w:val="0FAD7E19"/>
    <w:rsid w:val="10B8298E"/>
    <w:rsid w:val="12BC2799"/>
    <w:rsid w:val="13FD1ACA"/>
    <w:rsid w:val="14E60C13"/>
    <w:rsid w:val="1C826C8A"/>
    <w:rsid w:val="1C947BDA"/>
    <w:rsid w:val="1C9A0355"/>
    <w:rsid w:val="1E9355F8"/>
    <w:rsid w:val="1EF22883"/>
    <w:rsid w:val="1F73296E"/>
    <w:rsid w:val="22C83D9F"/>
    <w:rsid w:val="23C679B7"/>
    <w:rsid w:val="25054F52"/>
    <w:rsid w:val="25442B68"/>
    <w:rsid w:val="25F32BB4"/>
    <w:rsid w:val="27F0461E"/>
    <w:rsid w:val="28825DA2"/>
    <w:rsid w:val="28A46D32"/>
    <w:rsid w:val="2A82023D"/>
    <w:rsid w:val="2B72403E"/>
    <w:rsid w:val="30D676DD"/>
    <w:rsid w:val="30F555AF"/>
    <w:rsid w:val="31CB09D2"/>
    <w:rsid w:val="31DC6626"/>
    <w:rsid w:val="326B2B80"/>
    <w:rsid w:val="330C7939"/>
    <w:rsid w:val="34D92317"/>
    <w:rsid w:val="35E91868"/>
    <w:rsid w:val="38EB53E6"/>
    <w:rsid w:val="391D4027"/>
    <w:rsid w:val="396645FA"/>
    <w:rsid w:val="3B574B6F"/>
    <w:rsid w:val="3B746CE7"/>
    <w:rsid w:val="3D4163CC"/>
    <w:rsid w:val="3F95134C"/>
    <w:rsid w:val="3FCB0898"/>
    <w:rsid w:val="421E268C"/>
    <w:rsid w:val="47627580"/>
    <w:rsid w:val="4AB427F7"/>
    <w:rsid w:val="4B6F0AA1"/>
    <w:rsid w:val="4B875BAF"/>
    <w:rsid w:val="4C157304"/>
    <w:rsid w:val="4C812AD6"/>
    <w:rsid w:val="4E946B71"/>
    <w:rsid w:val="4FE26F83"/>
    <w:rsid w:val="4FFF0D89"/>
    <w:rsid w:val="5079358C"/>
    <w:rsid w:val="542C1314"/>
    <w:rsid w:val="54313815"/>
    <w:rsid w:val="568B0D81"/>
    <w:rsid w:val="56E67AD8"/>
    <w:rsid w:val="5A6D528F"/>
    <w:rsid w:val="5B612809"/>
    <w:rsid w:val="607D6743"/>
    <w:rsid w:val="60C34A30"/>
    <w:rsid w:val="617355B3"/>
    <w:rsid w:val="617B71C1"/>
    <w:rsid w:val="63186434"/>
    <w:rsid w:val="634C6EA9"/>
    <w:rsid w:val="67DF1203"/>
    <w:rsid w:val="6821038D"/>
    <w:rsid w:val="68E749C6"/>
    <w:rsid w:val="690920C9"/>
    <w:rsid w:val="6ABE0E88"/>
    <w:rsid w:val="6C883456"/>
    <w:rsid w:val="6D84456E"/>
    <w:rsid w:val="6E046AF5"/>
    <w:rsid w:val="6FD64C03"/>
    <w:rsid w:val="703955E9"/>
    <w:rsid w:val="7294210C"/>
    <w:rsid w:val="73D77B88"/>
    <w:rsid w:val="7497146B"/>
    <w:rsid w:val="753D7183"/>
    <w:rsid w:val="76B707A9"/>
    <w:rsid w:val="77555787"/>
    <w:rsid w:val="7AA6654E"/>
    <w:rsid w:val="7D892E2D"/>
    <w:rsid w:val="7EBF456D"/>
    <w:rsid w:val="86F74355"/>
    <w:rsid w:val="95BF3248"/>
    <w:rsid w:val="EF4D056E"/>
    <w:rsid w:val="FFF637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iPriority="0" w:semiHidden="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7"/>
    <w:qFormat/>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0"/>
    <w:qFormat/>
    <w:uiPriority w:val="0"/>
    <w:pPr>
      <w:keepNext/>
      <w:keepLines/>
      <w:spacing w:before="260" w:after="260" w:line="416" w:lineRule="auto"/>
      <w:outlineLvl w:val="2"/>
    </w:pPr>
    <w:rPr>
      <w:rFonts w:ascii="Times New Roman" w:hAnsi="Times New Roman"/>
      <w:b/>
      <w:bCs/>
      <w:sz w:val="32"/>
      <w:szCs w:val="32"/>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0"/>
    <w:pPr>
      <w:spacing w:after="120" w:afterLines="0" w:afterAutospacing="0"/>
    </w:pPr>
  </w:style>
  <w:style w:type="paragraph" w:styleId="6">
    <w:name w:val="Normal Indent"/>
    <w:basedOn w:val="1"/>
    <w:next w:val="1"/>
    <w:qFormat/>
    <w:uiPriority w:val="0"/>
    <w:pPr>
      <w:ind w:firstLine="420" w:firstLineChars="200"/>
    </w:pPr>
    <w:rPr>
      <w:sz w:val="30"/>
      <w:szCs w:val="30"/>
    </w:rPr>
  </w:style>
  <w:style w:type="paragraph" w:styleId="7">
    <w:name w:val="Block Text"/>
    <w:basedOn w:val="1"/>
    <w:unhideWhenUsed/>
    <w:qFormat/>
    <w:uiPriority w:val="0"/>
    <w:pPr>
      <w:spacing w:after="120"/>
      <w:ind w:left="1440" w:leftChars="700" w:right="1440" w:rightChars="700"/>
    </w:pPr>
    <w:rPr>
      <w:rFonts w:ascii="Times New Roman" w:hAnsi="Times New Roman"/>
      <w:szCs w:val="24"/>
    </w:rPr>
  </w:style>
  <w:style w:type="paragraph" w:styleId="8">
    <w:name w:val="Date"/>
    <w:basedOn w:val="1"/>
    <w:next w:val="1"/>
    <w:qFormat/>
    <w:uiPriority w:val="0"/>
    <w:pPr>
      <w:ind w:left="100" w:leftChars="2500"/>
    </w:pPr>
  </w:style>
  <w:style w:type="paragraph" w:styleId="9">
    <w:name w:val="Body Text Indent 2"/>
    <w:basedOn w:val="1"/>
    <w:link w:val="32"/>
    <w:qFormat/>
    <w:uiPriority w:val="0"/>
    <w:pPr>
      <w:spacing w:line="560" w:lineRule="exact"/>
      <w:ind w:left="1197" w:leftChars="93" w:hanging="918" w:hangingChars="328"/>
    </w:pPr>
    <w:rPr>
      <w:rFonts w:ascii="方正仿宋_GBK" w:hAnsi="Tahoma" w:eastAsia="方正仿宋_GBK"/>
      <w:color w:val="000000"/>
      <w:sz w:val="28"/>
      <w:szCs w:val="28"/>
    </w:rPr>
  </w:style>
  <w:style w:type="paragraph" w:styleId="10">
    <w:name w:val="footer"/>
    <w:basedOn w:val="1"/>
    <w:link w:val="28"/>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3">
    <w:name w:val="Normal (Web)"/>
    <w:basedOn w:val="1"/>
    <w:link w:val="34"/>
    <w:semiHidden/>
    <w:qFormat/>
    <w:uiPriority w:val="0"/>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qFormat/>
    <w:uiPriority w:val="0"/>
    <w:pPr>
      <w:spacing w:before="240" w:after="60"/>
      <w:jc w:val="center"/>
      <w:outlineLvl w:val="0"/>
    </w:pPr>
    <w:rPr>
      <w:rFonts w:ascii="等线 Light" w:hAnsi="等线 Light" w:eastAsia="等线 Light" w:cs="宋体"/>
      <w:b/>
      <w:bCs/>
      <w:sz w:val="32"/>
      <w:szCs w:val="32"/>
    </w:rPr>
  </w:style>
  <w:style w:type="character" w:styleId="17">
    <w:name w:val="Strong"/>
    <w:basedOn w:val="16"/>
    <w:qFormat/>
    <w:uiPriority w:val="0"/>
    <w:rPr>
      <w:b/>
      <w:bCs/>
    </w:rPr>
  </w:style>
  <w:style w:type="character" w:styleId="18">
    <w:name w:val="page number"/>
    <w:basedOn w:val="16"/>
    <w:qFormat/>
    <w:uiPriority w:val="0"/>
  </w:style>
  <w:style w:type="character" w:styleId="19">
    <w:name w:val="Emphasis"/>
    <w:qFormat/>
    <w:uiPriority w:val="0"/>
  </w:style>
  <w:style w:type="character" w:styleId="20">
    <w:name w:val="annotation reference"/>
    <w:qFormat/>
    <w:uiPriority w:val="0"/>
    <w:rPr>
      <w:sz w:val="21"/>
      <w:szCs w:val="21"/>
    </w:rPr>
  </w:style>
  <w:style w:type="paragraph" w:customStyle="1" w:styleId="21">
    <w:name w:val="Char"/>
    <w:basedOn w:val="1"/>
    <w:qFormat/>
    <w:uiPriority w:val="0"/>
    <w:rPr>
      <w:rFonts w:ascii="Tahoma" w:hAnsi="Tahoma"/>
      <w:sz w:val="24"/>
      <w:szCs w:val="20"/>
    </w:rPr>
  </w:style>
  <w:style w:type="paragraph" w:customStyle="1" w:styleId="22">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
    <w:name w:val="UserStyle_0"/>
    <w:basedOn w:val="1"/>
    <w:qFormat/>
    <w:uiPriority w:val="0"/>
    <w:pPr>
      <w:spacing w:line="412" w:lineRule="auto"/>
      <w:ind w:firstLine="400"/>
      <w:jc w:val="left"/>
      <w:textAlignment w:val="baseline"/>
    </w:pPr>
    <w:rPr>
      <w:rFonts w:ascii="宋体" w:hAnsi="宋体" w:cs="宋体"/>
      <w:kern w:val="0"/>
      <w:sz w:val="19"/>
      <w:szCs w:val="19"/>
    </w:rPr>
  </w:style>
  <w:style w:type="paragraph" w:customStyle="1" w:styleId="24">
    <w:name w:val="List Paragraph"/>
    <w:basedOn w:val="1"/>
    <w:qFormat/>
    <w:uiPriority w:val="34"/>
    <w:pPr>
      <w:ind w:firstLine="420" w:firstLineChars="200"/>
    </w:pPr>
  </w:style>
  <w:style w:type="character" w:customStyle="1" w:styleId="25">
    <w:name w:val="font41"/>
    <w:basedOn w:val="16"/>
    <w:qFormat/>
    <w:uiPriority w:val="0"/>
    <w:rPr>
      <w:rFonts w:hint="default" w:ascii="Times New Roman" w:hAnsi="Times New Roman" w:cs="Times New Roman"/>
      <w:color w:val="000000"/>
      <w:sz w:val="22"/>
      <w:szCs w:val="22"/>
      <w:u w:val="none"/>
    </w:rPr>
  </w:style>
  <w:style w:type="character" w:customStyle="1" w:styleId="26">
    <w:name w:val="17"/>
    <w:basedOn w:val="16"/>
    <w:qFormat/>
    <w:uiPriority w:val="0"/>
    <w:rPr>
      <w:rFonts w:hint="eastAsia" w:ascii="仿宋_GB2312" w:eastAsia="仿宋_GB2312"/>
      <w:color w:val="000000"/>
      <w:sz w:val="24"/>
      <w:szCs w:val="24"/>
    </w:rPr>
  </w:style>
  <w:style w:type="character" w:customStyle="1" w:styleId="27">
    <w:name w:val=" Char Char3"/>
    <w:link w:val="3"/>
    <w:qFormat/>
    <w:uiPriority w:val="0"/>
    <w:rPr>
      <w:rFonts w:eastAsia="宋体"/>
      <w:b/>
      <w:bCs/>
      <w:kern w:val="44"/>
      <w:sz w:val="44"/>
      <w:szCs w:val="44"/>
      <w:lang w:val="en-US" w:eastAsia="zh-CN" w:bidi="ar-SA"/>
    </w:rPr>
  </w:style>
  <w:style w:type="character" w:customStyle="1" w:styleId="28">
    <w:name w:val=" Char Char1"/>
    <w:basedOn w:val="16"/>
    <w:link w:val="10"/>
    <w:qFormat/>
    <w:uiPriority w:val="0"/>
    <w:rPr>
      <w:rFonts w:ascii="Calibri" w:hAnsi="Calibri" w:eastAsia="宋体"/>
      <w:kern w:val="2"/>
      <w:sz w:val="18"/>
      <w:szCs w:val="18"/>
      <w:lang w:val="en-US" w:eastAsia="zh-CN" w:bidi="ar-SA"/>
    </w:rPr>
  </w:style>
  <w:style w:type="character" w:customStyle="1" w:styleId="29">
    <w:name w:val="15"/>
    <w:basedOn w:val="16"/>
    <w:qFormat/>
    <w:uiPriority w:val="0"/>
    <w:rPr>
      <w:rFonts w:hint="eastAsia" w:ascii="宋体" w:hAnsi="宋体" w:eastAsia="宋体"/>
      <w:color w:val="000000"/>
      <w:sz w:val="28"/>
      <w:szCs w:val="28"/>
    </w:rPr>
  </w:style>
  <w:style w:type="character" w:customStyle="1" w:styleId="30">
    <w:name w:val=" Char Char2"/>
    <w:link w:val="5"/>
    <w:qFormat/>
    <w:uiPriority w:val="0"/>
    <w:rPr>
      <w:rFonts w:eastAsia="宋体"/>
      <w:b/>
      <w:bCs/>
      <w:kern w:val="2"/>
      <w:sz w:val="32"/>
      <w:szCs w:val="32"/>
      <w:lang w:val="en-US" w:eastAsia="zh-CN" w:bidi="ar-SA"/>
    </w:rPr>
  </w:style>
  <w:style w:type="character" w:customStyle="1" w:styleId="31">
    <w:name w:val="font21"/>
    <w:basedOn w:val="16"/>
    <w:qFormat/>
    <w:uiPriority w:val="0"/>
    <w:rPr>
      <w:rFonts w:hint="eastAsia" w:ascii="宋体" w:hAnsi="宋体" w:eastAsia="宋体" w:cs="宋体"/>
      <w:color w:val="000000"/>
      <w:sz w:val="22"/>
      <w:szCs w:val="22"/>
      <w:u w:val="none"/>
    </w:rPr>
  </w:style>
  <w:style w:type="character" w:customStyle="1" w:styleId="32">
    <w:name w:val=" Char Char"/>
    <w:basedOn w:val="16"/>
    <w:link w:val="9"/>
    <w:qFormat/>
    <w:locked/>
    <w:uiPriority w:val="0"/>
    <w:rPr>
      <w:rFonts w:ascii="方正仿宋_GBK" w:hAnsi="Tahoma" w:eastAsia="方正仿宋_GBK"/>
      <w:color w:val="000000"/>
      <w:kern w:val="2"/>
      <w:sz w:val="28"/>
      <w:szCs w:val="28"/>
      <w:lang w:val="en-US" w:eastAsia="zh-CN" w:bidi="ar-SA"/>
    </w:rPr>
  </w:style>
  <w:style w:type="character" w:customStyle="1" w:styleId="33">
    <w:name w:val="16"/>
    <w:basedOn w:val="16"/>
    <w:qFormat/>
    <w:uiPriority w:val="0"/>
    <w:rPr>
      <w:rFonts w:hint="default" w:ascii="Arial" w:hAnsi="Arial" w:cs="Arial"/>
      <w:color w:val="000000"/>
      <w:sz w:val="24"/>
      <w:szCs w:val="24"/>
    </w:rPr>
  </w:style>
  <w:style w:type="character" w:customStyle="1" w:styleId="34">
    <w:name w:val="普通 (Web) Char Char"/>
    <w:link w:val="13"/>
    <w:qFormat/>
    <w:locked/>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Pages>7</Pages>
  <Words>2618</Words>
  <Characters>2706</Characters>
  <Lines>32</Lines>
  <Paragraphs>9</Paragraphs>
  <TotalTime>103</TotalTime>
  <ScaleCrop>false</ScaleCrop>
  <LinksUpToDate>false</LinksUpToDate>
  <CharactersWithSpaces>2706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2021-10-22T09:41:00Z</dcterms:created>
  <dc:creator>lenovo</dc:creator>
  <cp:lastModifiedBy>LN.L</cp:lastModifiedBy>
  <cp:lastPrinted>2021-11-17T10:46:00Z</cp:lastPrinted>
  <dcterms:modified xsi:type="dcterms:W3CDTF">2023-06-16T02:21:36Z</dcterms:modified>
  <dc:title>2019年全区政务公开培训班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83DD3F9F76544F8C9DC88B90CA274A99_13</vt:lpwstr>
  </property>
</Properties>
</file>