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柳城县</w:t>
      </w:r>
      <w:bookmarkStart w:id="0" w:name="_GoBack"/>
      <w:bookmarkEnd w:id="0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</w:p>
    <w:tbl>
      <w:tblPr>
        <w:tblStyle w:val="4"/>
        <w:tblW w:w="14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70"/>
        <w:gridCol w:w="690"/>
        <w:gridCol w:w="1828"/>
        <w:gridCol w:w="2507"/>
        <w:gridCol w:w="1440"/>
        <w:gridCol w:w="928"/>
        <w:gridCol w:w="2130"/>
        <w:gridCol w:w="555"/>
        <w:gridCol w:w="660"/>
        <w:gridCol w:w="480"/>
        <w:gridCol w:w="720"/>
        <w:gridCol w:w="498"/>
        <w:gridCol w:w="42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柳城县发改局牵头、各审批部门负责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■两微一端        ■公开查阅点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■便民服务站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507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柳城县发改局牵头、各审批部门负责</w:t>
            </w:r>
          </w:p>
        </w:tc>
        <w:tc>
          <w:tcPr>
            <w:tcW w:w="2130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柳城县发改局牵头、各审批部门负责</w:t>
            </w:r>
          </w:p>
        </w:tc>
        <w:tc>
          <w:tcPr>
            <w:tcW w:w="2130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■两微一端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■公开查阅点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柳城县发展和改革局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柳城县发展和改革局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柳城县发展和改革局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及相关初步 设计审批部门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柳城县发展和改革局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柳城县发展和改革局、柳城县科技工贸和信息化局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柳城县发展和改革局、柳城县科技工贸和信息化局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</w:t>
            </w:r>
          </w:p>
        </w:tc>
        <w:tc>
          <w:tcPr>
            <w:tcW w:w="182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柳城县自然资源和规划局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柳城县行政审批局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柳城县自然资源和规划局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柳城县自然资源和规划局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柳城县自然资源和规划局、各乡镇人民政府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柳城县住房和城乡建设局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柳城县水利局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柳城县水利局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柳城县水利局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柳城县自然资源和规划局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■征地信息公开平台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各相关重大设计审批部门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■两微一端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50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13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0F3"/>
    <w:rsid w:val="007720F3"/>
    <w:rsid w:val="00AA18D5"/>
    <w:rsid w:val="2DDB5FE3"/>
    <w:rsid w:val="519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784</Words>
  <Characters>4469</Characters>
  <Lines>37</Lines>
  <Paragraphs>10</Paragraphs>
  <TotalTime>4</TotalTime>
  <ScaleCrop>false</ScaleCrop>
  <LinksUpToDate>false</LinksUpToDate>
  <CharactersWithSpaces>5243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LJZ</cp:lastModifiedBy>
  <dcterms:modified xsi:type="dcterms:W3CDTF">2020-12-18T09:38:15Z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