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before="100" w:beforeAutospacing="1" w:after="100" w:afterAutospacing="1" w:line="275" w:lineRule="atLeast"/>
        <w:jc w:val="center"/>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桂发改价格〔2018〕1385号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47" w:right="147"/>
        <w:jc w:val="center"/>
        <w:textAlignment w:val="auto"/>
        <w:rPr>
          <w:rFonts w:hint="eastAsia" w:ascii="方正小标宋简体" w:hAnsi="方正小标宋简体" w:eastAsia="方正小标宋简体" w:cs="方正小标宋简体"/>
          <w:i w:val="0"/>
          <w:caps w:val="0"/>
          <w:color w:val="000000"/>
          <w:spacing w:val="0"/>
          <w:sz w:val="44"/>
          <w:szCs w:val="44"/>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47" w:right="147"/>
        <w:jc w:val="center"/>
        <w:textAlignment w:val="auto"/>
        <w:rPr>
          <w:rFonts w:hint="eastAsia" w:ascii="方正小标宋简体" w:hAnsi="方正小标宋简体" w:eastAsia="方正小标宋简体" w:cs="方正小标宋简体"/>
          <w:i w:val="0"/>
          <w:caps w:val="0"/>
          <w:color w:val="000000"/>
          <w:spacing w:val="0"/>
          <w:sz w:val="44"/>
          <w:szCs w:val="44"/>
          <w:shd w:val="clear" w:fill="FFFFFF"/>
        </w:rPr>
      </w:pPr>
      <w:r>
        <w:rPr>
          <w:rFonts w:hint="eastAsia" w:ascii="方正小标宋简体" w:hAnsi="方正小标宋简体" w:eastAsia="方正小标宋简体" w:cs="方正小标宋简体"/>
          <w:i w:val="0"/>
          <w:caps w:val="0"/>
          <w:color w:val="000000"/>
          <w:spacing w:val="0"/>
          <w:sz w:val="44"/>
          <w:szCs w:val="44"/>
          <w:shd w:val="clear" w:fill="FFFFFF"/>
        </w:rPr>
        <w:t>广西壮族自治区发展和改革委员会转发国家发展改革委办公厅关于切实做</w:t>
      </w:r>
      <w:bookmarkStart w:id="0" w:name="_GoBack"/>
      <w:bookmarkEnd w:id="0"/>
      <w:r>
        <w:rPr>
          <w:rFonts w:hint="eastAsia" w:ascii="方正小标宋简体" w:hAnsi="方正小标宋简体" w:eastAsia="方正小标宋简体" w:cs="方正小标宋简体"/>
          <w:i w:val="0"/>
          <w:caps w:val="0"/>
          <w:color w:val="000000"/>
          <w:spacing w:val="0"/>
          <w:sz w:val="44"/>
          <w:szCs w:val="44"/>
          <w:shd w:val="clear" w:fill="FFFFFF"/>
        </w:rPr>
        <w:t>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47" w:right="147"/>
        <w:jc w:val="center"/>
        <w:textAlignment w:val="auto"/>
        <w:rPr>
          <w:rFonts w:hint="eastAsia" w:ascii="方正小标宋简体" w:hAnsi="方正小标宋简体" w:eastAsia="方正小标宋简体" w:cs="方正小标宋简体"/>
          <w:i w:val="0"/>
          <w:caps w:val="0"/>
          <w:color w:val="000000"/>
          <w:spacing w:val="0"/>
          <w:sz w:val="44"/>
          <w:szCs w:val="44"/>
          <w:shd w:val="clear" w:fill="FFFFFF"/>
        </w:rPr>
      </w:pPr>
      <w:r>
        <w:rPr>
          <w:rFonts w:hint="eastAsia" w:ascii="方正小标宋简体" w:hAnsi="方正小标宋简体" w:eastAsia="方正小标宋简体" w:cs="方正小标宋简体"/>
          <w:i w:val="0"/>
          <w:caps w:val="0"/>
          <w:color w:val="000000"/>
          <w:spacing w:val="0"/>
          <w:sz w:val="44"/>
          <w:szCs w:val="44"/>
          <w:shd w:val="clear" w:fill="FFFFFF"/>
        </w:rPr>
        <w:t>清理规范转供电环节加价工作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47" w:right="147"/>
        <w:jc w:val="center"/>
        <w:textAlignment w:val="auto"/>
        <w:rPr>
          <w:rFonts w:ascii="宋体" w:hAnsi="宋体" w:eastAsia="宋体" w:cs="宋体"/>
          <w:color w:val="333333"/>
          <w:kern w:val="0"/>
          <w:sz w:val="24"/>
          <w:szCs w:val="24"/>
        </w:rPr>
      </w:pPr>
      <w:r>
        <w:rPr>
          <w:rFonts w:hint="eastAsia" w:ascii="方正小标宋简体" w:hAnsi="方正小标宋简体" w:eastAsia="方正小标宋简体" w:cs="方正小标宋简体"/>
          <w:i w:val="0"/>
          <w:caps w:val="0"/>
          <w:color w:val="000000"/>
          <w:spacing w:val="0"/>
          <w:sz w:val="44"/>
          <w:szCs w:val="44"/>
          <w:shd w:val="clear" w:fill="FFFFFF"/>
        </w:rPr>
        <w:t>有关事项的通知</w:t>
      </w:r>
    </w:p>
    <w:p>
      <w:pPr>
        <w:widowControl/>
        <w:shd w:val="clear" w:color="auto" w:fill="FFFFFF"/>
        <w:wordWrap w:val="0"/>
        <w:spacing w:before="100" w:beforeAutospacing="1" w:after="100" w:afterAutospacing="1" w:line="600" w:lineRule="atLeast"/>
        <w:jc w:val="left"/>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各市、县物价局，广西电网有限责任公司，广西水利电业集团有限公司，桂东电力股份有限公司，百色电力有限责任公司：</w:t>
      </w:r>
    </w:p>
    <w:p>
      <w:pPr>
        <w:widowControl/>
        <w:shd w:val="clear" w:color="auto" w:fill="FFFFFF"/>
        <w:wordWrap w:val="0"/>
        <w:spacing w:before="100" w:beforeAutospacing="1" w:after="100" w:afterAutospacing="1" w:line="600" w:lineRule="atLeast"/>
        <w:ind w:firstLine="616"/>
        <w:jc w:val="left"/>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现将《国家发展改革委办公厅关于切实做好清理规范转供电环节加价工作有关事项的通知》（发改办价格〔2018〕1491号）转发你们，并提出以下要求，请遵照执行。</w:t>
      </w:r>
    </w:p>
    <w:p>
      <w:pPr>
        <w:widowControl/>
        <w:shd w:val="clear" w:color="auto" w:fill="FFFFFF"/>
        <w:wordWrap w:val="0"/>
        <w:spacing w:before="100" w:beforeAutospacing="1" w:after="100" w:afterAutospacing="1" w:line="600" w:lineRule="atLeast"/>
        <w:ind w:firstLine="616"/>
        <w:jc w:val="left"/>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一、高度重视，提高认识。一般工商业电价平均降低10%，是2018年国务院《政府工作报告》向社会做出的重要承诺，是一项必须完成的硬任务。2018年底，工业和信息化部将对各地落实降电价情况进行第三方评估。对此，各地价格主管部门、电网企业务必高度重视，清醒地认识到清理规范转供电工作的重要性和必要性。</w:t>
      </w:r>
    </w:p>
    <w:p>
      <w:pPr>
        <w:widowControl/>
        <w:shd w:val="clear" w:color="auto" w:fill="FFFFFF"/>
        <w:wordWrap w:val="0"/>
        <w:spacing w:before="100" w:beforeAutospacing="1" w:after="100" w:afterAutospacing="1" w:line="600" w:lineRule="atLeast"/>
        <w:ind w:firstLine="616"/>
        <w:jc w:val="left"/>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二、加大力度，扩大成效。要继续加大宣传力度，将降价政策措施宣传至每一户转供电主体，进一步摸排确认转供电主体底数，逐个清理规范，不留盲点。完成清理规范转供电主体数占比，要在2018年12月10日前达60%，12月20日前达90%，年底前要基本完成。各市物价局、广西电网有限责任公司、广西水利电业集团有限公司、桂东电力股份有限公司、百色电力有限责任公司分别于2018年12月11日、12月26日和2019年1月3日前向我委报送清理规范转供电主体工作进展统计表（统计表要加盖单位公章，扫描后发送至dj06224@163.com，不需邮寄原件），我委将不定期通报各市情况。</w:t>
      </w:r>
    </w:p>
    <w:p>
      <w:pPr>
        <w:widowControl/>
        <w:shd w:val="clear" w:color="auto" w:fill="FFFFFF"/>
        <w:wordWrap w:val="0"/>
        <w:spacing w:before="100" w:beforeAutospacing="1" w:after="100" w:afterAutospacing="1" w:line="600" w:lineRule="atLeast"/>
        <w:ind w:firstLine="616"/>
        <w:jc w:val="left"/>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三、强化协作，形成合力。各地价格主管部门要承担起主导作用，加强与当地工业和信息化部门、供电公司的沟通协作，整合力量，继续做好政策宣传解释、指导规范等工作。各电网企业要具体部署下属各供电公司强化工作落实，逐个排查确认，罗列清单，指导转供电主体清理整改，并于2018年12月15日前将转供电主体清单汇总报送我委（清单要加盖单位公章，扫描后发送至dj06224@163.com，不需邮寄原件）。对于推进清理规范转供电工作不力的地方、单位，我委将约谈相关责任人。</w:t>
      </w:r>
    </w:p>
    <w:p>
      <w:pPr>
        <w:widowControl/>
        <w:shd w:val="clear" w:color="auto" w:fill="FFFFFF"/>
        <w:wordWrap w:val="0"/>
        <w:spacing w:before="100" w:beforeAutospacing="1" w:after="100" w:afterAutospacing="1" w:line="275" w:lineRule="atLeast"/>
        <w:jc w:val="left"/>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 xml:space="preserve">    四、加强监督，主动作为。各地价格主管部门及监管机构要按照《广西壮族自治区物价局关于开展转供电环节收费检查的通知》（桂价查〔2018〕85号）的部署开展价格监督检查工作，依法查处转供电环节违规乱加价行为，并将典型案例向社会公开曝光。  </w:t>
      </w:r>
    </w:p>
    <w:p>
      <w:pPr>
        <w:widowControl/>
        <w:shd w:val="clear" w:color="auto" w:fill="FFFFFF"/>
        <w:wordWrap w:val="0"/>
        <w:spacing w:before="100" w:beforeAutospacing="1" w:after="100" w:afterAutospacing="1" w:line="275" w:lineRule="atLeast"/>
        <w:jc w:val="left"/>
        <w:rPr>
          <w:rFonts w:ascii="方正小标宋简体" w:hAnsi="Verdana" w:eastAsia="方正小标宋简体" w:cs="宋体"/>
          <w:color w:val="333333"/>
          <w:kern w:val="0"/>
          <w:sz w:val="44"/>
          <w:szCs w:val="44"/>
        </w:rPr>
      </w:pPr>
      <w:r>
        <w:rPr>
          <w:rFonts w:hint="eastAsia" w:ascii="方正小标宋简体" w:hAnsi="Verdana" w:eastAsia="方正小标宋简体" w:cs="宋体"/>
          <w:color w:val="333333"/>
          <w:kern w:val="0"/>
          <w:sz w:val="44"/>
          <w:szCs w:val="44"/>
        </w:rPr>
        <w:t> </w:t>
      </w:r>
    </w:p>
    <w:p>
      <w:pPr>
        <w:widowControl/>
        <w:shd w:val="clear" w:color="auto" w:fill="FFFFFF"/>
        <w:wordWrap w:val="0"/>
        <w:spacing w:before="100" w:beforeAutospacing="1" w:after="100" w:afterAutospacing="1" w:line="600" w:lineRule="atLeast"/>
        <w:ind w:left="1848" w:hanging="1232"/>
        <w:jc w:val="left"/>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附件：1.</w:t>
      </w:r>
      <w:r>
        <w:fldChar w:fldCharType="begin"/>
      </w:r>
      <w:r>
        <w:instrText xml:space="preserve"> HYPERLINK "http://www.gxdrc.gov.cn/sites_34015/wjj_1_1/wjgg/201812/W020181204389937898212.pdf" </w:instrText>
      </w:r>
      <w:r>
        <w:fldChar w:fldCharType="separate"/>
      </w:r>
      <w:r>
        <w:rPr>
          <w:rFonts w:hint="eastAsia" w:ascii="仿宋_GB2312" w:hAnsi="宋体" w:eastAsia="仿宋_GB2312" w:cs="宋体"/>
          <w:color w:val="666666"/>
          <w:kern w:val="0"/>
          <w:sz w:val="32"/>
        </w:rPr>
        <w:t>国家发展改革委办公厅关于切实做好清理规范转供电环节加价工作有关事项的通知（发改办价格〔2018〕1491号）</w:t>
      </w:r>
      <w:r>
        <w:rPr>
          <w:rFonts w:hint="eastAsia" w:ascii="仿宋_GB2312" w:hAnsi="宋体" w:eastAsia="仿宋_GB2312" w:cs="宋体"/>
          <w:color w:val="666666"/>
          <w:kern w:val="0"/>
          <w:sz w:val="32"/>
        </w:rPr>
        <w:fldChar w:fldCharType="end"/>
      </w:r>
    </w:p>
    <w:p>
      <w:pPr>
        <w:widowControl/>
        <w:shd w:val="clear" w:color="auto" w:fill="FFFFFF"/>
        <w:wordWrap w:val="0"/>
        <w:spacing w:before="100" w:beforeAutospacing="1" w:after="100" w:afterAutospacing="1" w:line="600" w:lineRule="atLeast"/>
        <w:ind w:left="1540"/>
        <w:jc w:val="left"/>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2.</w:t>
      </w:r>
      <w:r>
        <w:fldChar w:fldCharType="begin"/>
      </w:r>
      <w:r>
        <w:instrText xml:space="preserve"> HYPERLINK "http://www.gxdrc.gov.cn/sites_34015/wjj_1_1/wjgg/201812/W020181204389939498949.doc" </w:instrText>
      </w:r>
      <w:r>
        <w:fldChar w:fldCharType="separate"/>
      </w:r>
      <w:r>
        <w:rPr>
          <w:rFonts w:hint="eastAsia" w:ascii="仿宋_GB2312" w:hAnsi="宋体" w:eastAsia="仿宋_GB2312" w:cs="宋体"/>
          <w:color w:val="666666"/>
          <w:kern w:val="0"/>
          <w:sz w:val="32"/>
        </w:rPr>
        <w:t>清理规范转供电主体工作进展统计表</w:t>
      </w:r>
      <w:r>
        <w:rPr>
          <w:rFonts w:hint="eastAsia" w:ascii="仿宋_GB2312" w:hAnsi="宋体" w:eastAsia="仿宋_GB2312" w:cs="宋体"/>
          <w:color w:val="666666"/>
          <w:kern w:val="0"/>
          <w:sz w:val="32"/>
        </w:rPr>
        <w:fldChar w:fldCharType="end"/>
      </w:r>
    </w:p>
    <w:p>
      <w:pPr>
        <w:widowControl/>
        <w:shd w:val="clear" w:color="auto" w:fill="FFFFFF"/>
        <w:wordWrap w:val="0"/>
        <w:spacing w:before="100" w:beforeAutospacing="1" w:after="100" w:afterAutospacing="1" w:line="275" w:lineRule="atLeast"/>
        <w:jc w:val="left"/>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      3.</w:t>
      </w:r>
      <w:r>
        <w:fldChar w:fldCharType="begin"/>
      </w:r>
      <w:r>
        <w:instrText xml:space="preserve"> HYPERLINK "http://www.gxdrc.gov.cn/sites_34015/wjj_1_1/wjgg/201812/W020181204389940988724.doc" </w:instrText>
      </w:r>
      <w:r>
        <w:fldChar w:fldCharType="separate"/>
      </w:r>
      <w:r>
        <w:rPr>
          <w:rFonts w:hint="eastAsia" w:ascii="仿宋_GB2312" w:hAnsi="宋体" w:eastAsia="仿宋_GB2312" w:cs="宋体"/>
          <w:color w:val="666666"/>
          <w:kern w:val="0"/>
          <w:sz w:val="32"/>
        </w:rPr>
        <w:t>广西**公司网区转供电主体清单</w:t>
      </w:r>
      <w:r>
        <w:rPr>
          <w:rFonts w:hint="eastAsia" w:ascii="仿宋_GB2312" w:hAnsi="宋体" w:eastAsia="仿宋_GB2312" w:cs="宋体"/>
          <w:color w:val="666666"/>
          <w:kern w:val="0"/>
          <w:sz w:val="32"/>
        </w:rPr>
        <w:fldChar w:fldCharType="end"/>
      </w:r>
    </w:p>
    <w:p>
      <w:pPr>
        <w:widowControl/>
        <w:shd w:val="clear" w:color="auto" w:fill="FFFFFF"/>
        <w:wordWrap w:val="0"/>
        <w:spacing w:before="100" w:beforeAutospacing="1" w:after="100" w:afterAutospacing="1" w:line="275" w:lineRule="atLeast"/>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shd w:val="clear" w:color="auto" w:fill="FFFFFF"/>
        <w:wordWrap w:val="0"/>
        <w:spacing w:before="100" w:beforeAutospacing="1" w:after="100" w:afterAutospacing="1" w:line="580" w:lineRule="atLeast"/>
        <w:ind w:firstLine="2926"/>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广西壮族自治区发展和改革委员会</w:t>
      </w:r>
    </w:p>
    <w:p>
      <w:pPr>
        <w:widowControl/>
        <w:shd w:val="clear" w:color="auto" w:fill="FFFFFF"/>
        <w:wordWrap w:val="0"/>
        <w:spacing w:before="100" w:beforeAutospacing="1" w:after="100" w:afterAutospacing="1" w:line="580" w:lineRule="atLeast"/>
        <w:ind w:firstLine="2926"/>
        <w:jc w:val="left"/>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 xml:space="preserve">   2018年11月29日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D68C8"/>
    <w:rsid w:val="002D74E5"/>
    <w:rsid w:val="002E086A"/>
    <w:rsid w:val="00323ABF"/>
    <w:rsid w:val="005B4D2E"/>
    <w:rsid w:val="00AD68C8"/>
    <w:rsid w:val="29942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666666"/>
      <w:u w:val="none"/>
    </w:rPr>
  </w:style>
  <w:style w:type="character" w:customStyle="1" w:styleId="9">
    <w:name w:val="页眉 Char"/>
    <w:basedOn w:val="6"/>
    <w:link w:val="3"/>
    <w:semiHidden/>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206</Words>
  <Characters>1180</Characters>
  <Lines>9</Lines>
  <Paragraphs>2</Paragraphs>
  <TotalTime>3</TotalTime>
  <ScaleCrop>false</ScaleCrop>
  <LinksUpToDate>false</LinksUpToDate>
  <CharactersWithSpaces>1384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2019-01-07T02:03:00Z</dcterms:created>
  <dc:creator>china</dc:creator>
  <cp:lastModifiedBy>kid1379905304</cp:lastModifiedBy>
  <dcterms:modified xsi:type="dcterms:W3CDTF">2019-01-07T02:05:42Z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