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318" w:afterLines="50" w:line="720" w:lineRule="exact"/>
        <w:jc w:val="center"/>
        <w:rPr>
          <w:rFonts w:hint="eastAsia" w:ascii="方正小标宋简体" w:eastAsia="方正小标宋简体"/>
          <w:spacing w:val="4"/>
          <w:sz w:val="44"/>
          <w:szCs w:val="44"/>
        </w:rPr>
      </w:pPr>
      <w:r>
        <w:rPr>
          <w:rFonts w:hint="eastAsia" w:ascii="方正小标宋简体" w:eastAsia="方正小标宋简体"/>
          <w:spacing w:val="4"/>
          <w:sz w:val="44"/>
          <w:szCs w:val="44"/>
        </w:rPr>
        <w:t>招标事项核准意见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4"/>
          <w:sz w:val="44"/>
          <w:szCs w:val="44"/>
        </w:rPr>
      </w:pPr>
    </w:p>
    <w:p>
      <w:pPr>
        <w:spacing w:line="400" w:lineRule="exact"/>
        <w:ind w:left="1861" w:hanging="1946" w:hangingChars="69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建设项目名称：广西天然气支线管网项目合山天然气支线管道工程项目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审批部门核准意见说明：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本项目总投资12802万元,根据《必须招标的工程项目规定》（国家发展改革委令第16号），本项目勘察、设计、建筑工程、安装工程、监理、主要材料及设备等必须进行招标。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审批部门盖章</w:t>
            </w:r>
          </w:p>
          <w:p>
            <w:pPr>
              <w:spacing w:line="480" w:lineRule="exact"/>
              <w:ind w:right="456" w:firstLine="4303" w:firstLineChars="179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2019年9月27日</w:t>
            </w:r>
          </w:p>
          <w:p>
            <w:pPr>
              <w:spacing w:line="460" w:lineRule="exact"/>
              <w:jc w:val="right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　　</w:t>
            </w:r>
          </w:p>
        </w:tc>
      </w:tr>
    </w:tbl>
    <w:p>
      <w:pPr>
        <w:spacing w:line="520" w:lineRule="exact"/>
        <w:ind w:firstLine="560" w:firstLineChars="200"/>
        <w:jc w:val="left"/>
        <w:rPr>
          <w:rFonts w:ascii="仿宋_GB2312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D6CD9"/>
    <w:rsid w:val="188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2019-09-30T02:36:00Z</dcterms:created>
  <dc:creator>lenovo</dc:creator>
  <cp:lastModifiedBy>lenovo</cp:lastModifiedBy>
  <dcterms:modified xsi:type="dcterms:W3CDTF">2019-09-30T02:36:45Z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