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rPr>
          <w:rFonts w:hint="eastAsia"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</w:rPr>
        <w:t>附件</w:t>
      </w:r>
      <w:bookmarkStart w:id="0" w:name="_GoBack"/>
      <w:bookmarkEnd w:id="0"/>
    </w:p>
    <w:p>
      <w:pPr>
        <w:pStyle w:val="3"/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总投资概算表</w:t>
      </w:r>
    </w:p>
    <w:p>
      <w:pPr>
        <w:pStyle w:val="3"/>
        <w:bidi w:val="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工程名称：南亚热带作物种质资源保存和创新利用中心</w:t>
      </w:r>
    </w:p>
    <w:tbl>
      <w:tblPr>
        <w:tblStyle w:val="5"/>
        <w:tblW w:w="134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482"/>
        <w:gridCol w:w="1193"/>
        <w:gridCol w:w="995"/>
        <w:gridCol w:w="1009"/>
        <w:gridCol w:w="928"/>
        <w:gridCol w:w="1227"/>
        <w:gridCol w:w="750"/>
        <w:gridCol w:w="1309"/>
        <w:gridCol w:w="1432"/>
        <w:gridCol w:w="13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82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482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工程或费用名称</w:t>
            </w:r>
          </w:p>
        </w:tc>
        <w:tc>
          <w:tcPr>
            <w:tcW w:w="5352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概算造价（万元）</w:t>
            </w:r>
          </w:p>
        </w:tc>
        <w:tc>
          <w:tcPr>
            <w:tcW w:w="3491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技术经济指标</w:t>
            </w:r>
          </w:p>
        </w:tc>
        <w:tc>
          <w:tcPr>
            <w:tcW w:w="132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占项目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投资比例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tblHeader/>
          <w:jc w:val="center"/>
        </w:trPr>
        <w:tc>
          <w:tcPr>
            <w:tcW w:w="8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8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建筑工程费用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设备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购置费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安装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工程费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其他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费用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指标（元）</w:t>
            </w:r>
          </w:p>
        </w:tc>
        <w:tc>
          <w:tcPr>
            <w:tcW w:w="132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一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工程费用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2047.91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141.42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2189.33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m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35018.92 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625.18 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85.86%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（一）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建筑工程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999.21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999.21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m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12654.88 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789.58 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农业种质资源展示及鉴定评价用房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262.26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262.26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m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618.88 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4237.66 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种质资源繁育大棚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175.10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175.10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m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4800.00 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364.79 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组培苗移栽大棚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34.78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34.78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m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960.00 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362.29 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东南亚品种隔离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试种大棚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34.75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34.75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m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960.00 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361.98 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东南亚品种隔离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试种玻璃温室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47.08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47.08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m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768.00 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613.02 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东南亚品种隔离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试种网室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37.82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37.82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m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1248.00 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303.04 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种质资源宣传长廊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58.56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58.56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m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300.00 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1952.00 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围墙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348.86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348.86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m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3000.00 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1162.87 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（二）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田间工程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930.37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930.37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道路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462.00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462.00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m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7339.04 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629.51 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排水沟渠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96.83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96.83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m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2510.00 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385.78 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水肥一体化设施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275.38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275.38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亩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1100.00 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2503.45 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供水主管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96.16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96.16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m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6060.00 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158.68 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（三）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供电工程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118.33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118.33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m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5355.00 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220.97 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（四）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仪器设备购置与安装工程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141.42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 xml:space="preserve">141.42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项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141.42 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二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工程建设其他费用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239.28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239.28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9.38%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三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预备费用</w:t>
            </w:r>
          </w:p>
        </w:tc>
        <w:tc>
          <w:tcPr>
            <w:tcW w:w="4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（一+二）×预备费费率5%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121.43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4.76%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四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建设期贷款利息</w:t>
            </w:r>
          </w:p>
        </w:tc>
        <w:tc>
          <w:tcPr>
            <w:tcW w:w="4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五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项目概算总投资</w:t>
            </w:r>
          </w:p>
        </w:tc>
        <w:tc>
          <w:tcPr>
            <w:tcW w:w="4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一+二+三+四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2550.04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100.00%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982BBF"/>
    <w:rsid w:val="7898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spacing w:line="360" w:lineRule="auto"/>
    </w:pPr>
    <w:rPr>
      <w:rFonts w:ascii="宋体" w:hAnsi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2022-12-01T02:55:00Z</dcterms:created>
  <dc:creator>记得，微笑</dc:creator>
  <cp:lastModifiedBy>记得，微笑</cp:lastModifiedBy>
  <dcterms:modified xsi:type="dcterms:W3CDTF">2022-12-01T02:57:59Z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