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2025年</w:t>
      </w:r>
      <w:r>
        <w:rPr>
          <w:rFonts w:hint="eastAsia" w:ascii="方正小标宋简体" w:hAnsi="方正小标宋简体" w:eastAsia="方正小标宋简体" w:cs="方正小标宋简体"/>
          <w:sz w:val="44"/>
          <w:szCs w:val="44"/>
          <w:lang w:eastAsia="zh-CN"/>
        </w:rPr>
        <w:t>广西壮族</w:t>
      </w:r>
      <w:r>
        <w:rPr>
          <w:rFonts w:hint="eastAsia" w:ascii="方正小标宋简体" w:hAnsi="方正小标宋简体" w:eastAsia="方正小标宋简体" w:cs="方正小标宋简体"/>
          <w:sz w:val="44"/>
          <w:szCs w:val="44"/>
        </w:rPr>
        <w:t>自治区工程研究中心拟认定名单</w:t>
      </w:r>
    </w:p>
    <w:tbl>
      <w:tblPr>
        <w:tblStyle w:val="5"/>
        <w:tblW w:w="13268" w:type="dxa"/>
        <w:jc w:val="center"/>
        <w:tblInd w:w="0" w:type="dxa"/>
        <w:shd w:val="clear" w:color="auto" w:fill="auto"/>
        <w:tblLayout w:type="fixed"/>
        <w:tblCellMar>
          <w:top w:w="0" w:type="dxa"/>
          <w:left w:w="0" w:type="dxa"/>
          <w:bottom w:w="0" w:type="dxa"/>
          <w:right w:w="0" w:type="dxa"/>
        </w:tblCellMar>
      </w:tblPr>
      <w:tblGrid>
        <w:gridCol w:w="988"/>
        <w:gridCol w:w="6065"/>
        <w:gridCol w:w="1888"/>
        <w:gridCol w:w="4327"/>
      </w:tblGrid>
      <w:tr>
        <w:tblPrEx>
          <w:shd w:val="clear" w:color="auto" w:fill="auto"/>
          <w:tblLayout w:type="fixed"/>
          <w:tblCellMar>
            <w:top w:w="0" w:type="dxa"/>
            <w:left w:w="0" w:type="dxa"/>
            <w:bottom w:w="0" w:type="dxa"/>
            <w:right w:w="0" w:type="dxa"/>
          </w:tblCellMar>
        </w:tblPrEx>
        <w:trPr>
          <w:trHeight w:val="312" w:hRule="atLeast"/>
          <w:tblHeader/>
          <w:jc w:val="center"/>
        </w:trPr>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6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自治区工程研究中心名称</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建设地点</w:t>
            </w:r>
          </w:p>
        </w:tc>
        <w:tc>
          <w:tcPr>
            <w:tcW w:w="4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lang w:eastAsia="zh-CN"/>
              </w:rPr>
            </w:pPr>
            <w:r>
              <w:rPr>
                <w:rFonts w:hint="eastAsia" w:ascii="黑体" w:hAnsi="宋体" w:eastAsia="黑体" w:cs="黑体"/>
                <w:i w:val="0"/>
                <w:color w:val="000000"/>
                <w:sz w:val="24"/>
                <w:szCs w:val="24"/>
                <w:u w:val="none"/>
                <w:lang w:val="en-US" w:eastAsia="zh-CN"/>
              </w:rPr>
              <w:t xml:space="preserve"> </w:t>
            </w:r>
            <w:r>
              <w:rPr>
                <w:rFonts w:hint="eastAsia" w:ascii="黑体" w:hAnsi="宋体" w:eastAsia="黑体" w:cs="黑体"/>
                <w:i w:val="0"/>
                <w:color w:val="000000"/>
                <w:sz w:val="24"/>
                <w:szCs w:val="24"/>
                <w:u w:val="none"/>
                <w:lang w:eastAsia="zh-CN"/>
              </w:rPr>
              <w:t>所属行业类别</w:t>
            </w:r>
          </w:p>
        </w:tc>
      </w:tr>
      <w:tr>
        <w:tblPrEx>
          <w:tblLayout w:type="fixed"/>
          <w:tblCellMar>
            <w:top w:w="0" w:type="dxa"/>
            <w:left w:w="0" w:type="dxa"/>
            <w:bottom w:w="0" w:type="dxa"/>
            <w:right w:w="0" w:type="dxa"/>
          </w:tblCellMar>
        </w:tblPrEx>
        <w:trPr>
          <w:trHeight w:val="576" w:hRule="atLeast"/>
          <w:tblHeader/>
          <w:jc w:val="center"/>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6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4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广西壮族自治区干细胞工程研究中心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桂林市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生物医药相关服务</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themeColor="text1"/>
                <w:kern w:val="0"/>
                <w:sz w:val="20"/>
                <w:szCs w:val="20"/>
                <w:u w:val="none"/>
                <w:lang w:val="en-US" w:eastAsia="zh-CN" w:bidi="ar"/>
                <w14:textFill>
                  <w14:solidFill>
                    <w14:schemeClr w14:val="tx1"/>
                  </w14:solidFill>
                </w14:textFill>
              </w:rPr>
              <w:t>广西壮族自治区泌尿系统疾病智慧诊疗工程研究中心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生物医学工程相关服务</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广西壮族自治区质子放射治疗工程研究中心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先进医疗设备及器械制造</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广西壮族自治区药用动物工程研究中心</w:t>
            </w:r>
            <w:bookmarkStart w:id="0" w:name="_GoBack"/>
            <w:bookmarkEnd w:id="0"/>
          </w:p>
        </w:tc>
        <w:tc>
          <w:tcPr>
            <w:tcW w:w="18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现代中药与民族药学制造</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广西壮族自治区下尿路疾病研究与临床转化工程研究中心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桂林市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先进医疗设备及器械制造</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广西壮族自治区肝脏血管组智能仿真技术工程研究中心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生物医学工程信息技术服务</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广西壮族自治区民族药科学数据功效挖掘与智能质控工程研究中心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百色市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生物医药相关服务</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广西壮族自治区射波刀治疗工程研究中心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生物医药相关服务</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广西壮族自治区智能光学成像与精准诊疗工程研究中心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生物医药相关服务</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广西壮族自治区药食同源长寿健康食品工程研究中心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玉林市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生物医药相关服务</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广西壮族自治区消化道微生态智能生物医学工程研究中心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百色市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生物医药相关服务</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广西壮族自治区东巴凤原料药制剂全产业链与质量评价工程研究中心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河池市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val="en-US" w:eastAsia="zh-CN"/>
              </w:rPr>
              <w:t xml:space="preserve">              </w:t>
            </w:r>
            <w:r>
              <w:rPr>
                <w:rFonts w:hint="eastAsia" w:ascii="仿宋_GB2312" w:hAnsi="宋体" w:eastAsia="仿宋_GB2312" w:cs="仿宋_GB2312"/>
                <w:i w:val="0"/>
                <w:color w:val="000000"/>
                <w:sz w:val="20"/>
                <w:szCs w:val="20"/>
                <w:u w:val="none"/>
                <w:lang w:eastAsia="zh-CN"/>
              </w:rPr>
              <w:t>生物医药相关服务</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广西壮族自治区稀土新材料工程研究中心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崇左市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稀土新材料制造</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 xml:space="preserve">广西壮族自治区海用特种线缆新材料工程研究中心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高性能塑料及树脂制造</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广西壮族自治区生物质绿色智造与高值转化工程研究中心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生物基材料制造</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广西壮族自治区阻燃材料工程研究中心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矿物功能材料制造</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宋体" w:hAnsi="宋体" w:eastAsia="宋体" w:cs="宋体"/>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17</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广西壮族自治区自然资源智能治理工程研究中心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新型信息技术服务</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宋体" w:hAnsi="宋体" w:eastAsia="宋体" w:cs="宋体"/>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18</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广西壮族自治区智能信息处理与通信技术工程研究中心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新兴软件技术</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宋体" w:hAnsi="宋体" w:eastAsia="宋体" w:cs="宋体"/>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19</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广西壮族自治区集成电路先进封装与测试工程研究中心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集成电路制造</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宋体" w:hAnsi="宋体" w:eastAsia="宋体" w:cs="宋体"/>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20</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广西壮族自治区面向东盟职教出海数据标注工程研究中心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人工智能系统服务</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21</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广西壮族自治区六堡茶智能生产及质控设备工程研究中心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梧州市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智慧农业</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22</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广西壮族自治区茶树种质创新与加工工程研究中心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桂林市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其他数字要素驱动业</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23</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广西壮族自治区大豆油料产能提升工程研究中心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生物育种</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24</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 xml:space="preserve"> 广西壮族自治区畜禽现代生态与智慧养殖工程研究中心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生物农业相关服务</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25</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广西壮族自治区蔗田土壤健康与生态改良工程研究中心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来宾市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生物农业相关服务</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26</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广西壮族自治区高速公路绿色智能建造与运维工程研究中心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可回收资源综合利用</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27</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广西壮族自治区绿色环保选矿工程研究中心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河池市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矿产资源综合利用</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28</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广西壮族自治区轨道交通绿色智能技术工程研究中心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研发服务</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29</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广西壮族自治区建筑能耗与碳排放智慧监管工程研究中心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节能研发与技术服务</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30</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广西壮族自治区新能源汽车轻量化工程研究中心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柳州市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新能源汽车零部件配件制造</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31</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广西壮族自治区复杂桥梁建造关键技术工程研究中心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重大成套设备制造</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32</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广西壮族自治区先进制造智能检测与装备工程研究中心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智能测控装备制造</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33</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广西壮族自治区高端工程装备智能制造工程研究中心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柳州市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其他智能设备制造</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34</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广西壮族自治区绿色智能新能源船舶产业工程研究中心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桂林市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生物质能及其他新能源设备制造</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35</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广西壮族自治区低空飞行服务保障工程研究中心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智能交通</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36</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广西壮族自治区人工智能工业互联网场景工程研究中心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柳州市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AI+工业互联网</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37</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广西壮族自治区人工智能韧性城市场景工程研究中心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 xml:space="preserve"> 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AI+韧性城市</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38</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广西壮族自治区人工智能低空场景工程研究中心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AI+低空</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39</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广西壮族自治区人工智能公路运养场景工程研究中心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AI+公路</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40</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广西壮族自治区人工智能蔗糖产业链场景工程研究中心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AI+蔗糖产业</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41</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广西壮族自治区人工智能教育与文化产业场景工程研究中心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桂林市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AI+文化与教育</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42</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广西壮族自治区人工智能空天信息场景工程研究中心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桂林市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AI+空天信息</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43</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广西壮族自治区人工智能内河航运场景工程研究中心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梧州市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AI+内河航道</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44</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广西壮族自治区人工智能中医药场景工程研究中心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AI+中医药</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45</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广西壮族自治区人工智能壮瑶医诊疗场景工程研究中心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AI+壮瑶药</w:t>
            </w:r>
          </w:p>
        </w:tc>
      </w:tr>
      <w:tr>
        <w:tblPrEx>
          <w:tblLayout w:type="fixed"/>
          <w:tblCellMar>
            <w:top w:w="0" w:type="dxa"/>
            <w:left w:w="0" w:type="dxa"/>
            <w:bottom w:w="0" w:type="dxa"/>
            <w:right w:w="0"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46</w:t>
            </w:r>
          </w:p>
        </w:tc>
        <w:tc>
          <w:tcPr>
            <w:tcW w:w="6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广西壮族自治区人工智能口腔诊疗与智造场景工程研究中心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南宁市</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宋体"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AI+</w:t>
            </w:r>
            <w:r>
              <w:rPr>
                <w:rFonts w:hint="eastAsia" w:ascii="仿宋_GB2312" w:hAnsi="宋体" w:eastAsia="仿宋_GB2312" w:cs="仿宋_GB2312"/>
                <w:i w:val="0"/>
                <w:color w:val="000000"/>
                <w:kern w:val="0"/>
                <w:sz w:val="20"/>
                <w:szCs w:val="20"/>
                <w:u w:val="none"/>
                <w:lang w:val="en-US" w:eastAsia="zh-CN" w:bidi="ar"/>
              </w:rPr>
              <w:t>口腔医学中医药</w:t>
            </w:r>
          </w:p>
        </w:tc>
      </w:tr>
    </w:tbl>
    <w:p>
      <w:pPr>
        <w:keepNext w:val="0"/>
        <w:keepLines w:val="0"/>
        <w:pageBreakBefore w:val="0"/>
        <w:kinsoku/>
        <w:wordWrap/>
        <w:overflowPunct/>
        <w:topLinePunct w:val="0"/>
        <w:autoSpaceDE/>
        <w:autoSpaceDN/>
        <w:bidi w:val="0"/>
        <w:adjustRightInd/>
        <w:snapToGrid/>
        <w:spacing w:line="240" w:lineRule="exact"/>
        <w:outlineLvl w:val="9"/>
      </w:pPr>
    </w:p>
    <w:sectPr>
      <w:footerReference r:id="rId3" w:type="default"/>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ejaVu Sans">
    <w:altName w:val="Segoe Print"/>
    <w:panose1 w:val="020B0603030804020204"/>
    <w:charset w:val="00"/>
    <w:family w:val="roman"/>
    <w:pitch w:val="default"/>
    <w:sig w:usb0="00000000" w:usb1="00000000" w:usb2="0A246029" w:usb3="0400200C" w:csb0="600001FF" w:csb1="DFFF0000"/>
  </w:font>
  <w:font w:name="方正小标宋简体">
    <w:altName w:val="仿宋_GB2312"/>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F7B07"/>
    <w:rsid w:val="02A521A7"/>
    <w:rsid w:val="0F9EAE5A"/>
    <w:rsid w:val="0FEF61CB"/>
    <w:rsid w:val="0FFCCB75"/>
    <w:rsid w:val="17FBE716"/>
    <w:rsid w:val="1BD57D61"/>
    <w:rsid w:val="1E75B523"/>
    <w:rsid w:val="29F3DCB2"/>
    <w:rsid w:val="2A1F7B07"/>
    <w:rsid w:val="2A2E9FB6"/>
    <w:rsid w:val="2C27732F"/>
    <w:rsid w:val="2F8F50BB"/>
    <w:rsid w:val="2FBFBFD7"/>
    <w:rsid w:val="2FF9BC00"/>
    <w:rsid w:val="2FFF4766"/>
    <w:rsid w:val="3495A23C"/>
    <w:rsid w:val="35FD22DB"/>
    <w:rsid w:val="364F01DC"/>
    <w:rsid w:val="36E5A00B"/>
    <w:rsid w:val="37EFAD3D"/>
    <w:rsid w:val="3BB36BB7"/>
    <w:rsid w:val="3BDC52F3"/>
    <w:rsid w:val="3C7FDF5C"/>
    <w:rsid w:val="3D7ECD04"/>
    <w:rsid w:val="3DF135DF"/>
    <w:rsid w:val="45F3066B"/>
    <w:rsid w:val="4CD250C6"/>
    <w:rsid w:val="4FFC6072"/>
    <w:rsid w:val="577906A5"/>
    <w:rsid w:val="59BACD64"/>
    <w:rsid w:val="59F5F7D8"/>
    <w:rsid w:val="5B9CB128"/>
    <w:rsid w:val="5BFF6AA7"/>
    <w:rsid w:val="5DF14704"/>
    <w:rsid w:val="5DFB52A3"/>
    <w:rsid w:val="5DFF7D59"/>
    <w:rsid w:val="635B7752"/>
    <w:rsid w:val="65E6F7A1"/>
    <w:rsid w:val="66D748BB"/>
    <w:rsid w:val="67B1A6A9"/>
    <w:rsid w:val="68570544"/>
    <w:rsid w:val="693F6033"/>
    <w:rsid w:val="6A5F3749"/>
    <w:rsid w:val="6E19C18B"/>
    <w:rsid w:val="6EF9070E"/>
    <w:rsid w:val="6FFA4894"/>
    <w:rsid w:val="719FA2CE"/>
    <w:rsid w:val="73E1287D"/>
    <w:rsid w:val="74FFA17C"/>
    <w:rsid w:val="75FEA454"/>
    <w:rsid w:val="764F0EFE"/>
    <w:rsid w:val="78FDFA5B"/>
    <w:rsid w:val="79C7D057"/>
    <w:rsid w:val="7A5BE9C9"/>
    <w:rsid w:val="7AD3C9F1"/>
    <w:rsid w:val="7ADFEB03"/>
    <w:rsid w:val="7BE04C2F"/>
    <w:rsid w:val="7BF555DF"/>
    <w:rsid w:val="7BFDC1FE"/>
    <w:rsid w:val="7C7F51E8"/>
    <w:rsid w:val="7E1FDED1"/>
    <w:rsid w:val="7E7304FA"/>
    <w:rsid w:val="7E7EDA3E"/>
    <w:rsid w:val="7EEE52D4"/>
    <w:rsid w:val="7F7F0712"/>
    <w:rsid w:val="7FE73B56"/>
    <w:rsid w:val="7FF398F3"/>
    <w:rsid w:val="7FFF2809"/>
    <w:rsid w:val="7FFFD51B"/>
    <w:rsid w:val="9FC7D995"/>
    <w:rsid w:val="9FF43730"/>
    <w:rsid w:val="9FFA916B"/>
    <w:rsid w:val="9FFC4FF7"/>
    <w:rsid w:val="A7FFE4E4"/>
    <w:rsid w:val="B3B5057E"/>
    <w:rsid w:val="B5EBE420"/>
    <w:rsid w:val="B71E2ACF"/>
    <w:rsid w:val="B7510883"/>
    <w:rsid w:val="B77FD4B7"/>
    <w:rsid w:val="BBB719DC"/>
    <w:rsid w:val="BFCFCE4D"/>
    <w:rsid w:val="BFEF0596"/>
    <w:rsid w:val="C77722BF"/>
    <w:rsid w:val="CBEF8566"/>
    <w:rsid w:val="CEDF1C24"/>
    <w:rsid w:val="CFDBDC49"/>
    <w:rsid w:val="CFDC9437"/>
    <w:rsid w:val="D7FF2B5E"/>
    <w:rsid w:val="D9868304"/>
    <w:rsid w:val="DADF72FF"/>
    <w:rsid w:val="DBFFB685"/>
    <w:rsid w:val="DEF78789"/>
    <w:rsid w:val="DF70855B"/>
    <w:rsid w:val="E06FF633"/>
    <w:rsid w:val="E5DEE8D7"/>
    <w:rsid w:val="E6FDBFAD"/>
    <w:rsid w:val="E95F83E3"/>
    <w:rsid w:val="E9EFE2EA"/>
    <w:rsid w:val="EBFF9FE2"/>
    <w:rsid w:val="ED5EA807"/>
    <w:rsid w:val="ED9D29F5"/>
    <w:rsid w:val="EEF3FC8B"/>
    <w:rsid w:val="EFBC7095"/>
    <w:rsid w:val="EFEB8CD7"/>
    <w:rsid w:val="EFEF8FE3"/>
    <w:rsid w:val="EFF321FE"/>
    <w:rsid w:val="F0F742A5"/>
    <w:rsid w:val="F3DF82B6"/>
    <w:rsid w:val="F514FEF3"/>
    <w:rsid w:val="F73D49FD"/>
    <w:rsid w:val="F7456AAC"/>
    <w:rsid w:val="F8FA8E35"/>
    <w:rsid w:val="F9A7493A"/>
    <w:rsid w:val="FA7EDA35"/>
    <w:rsid w:val="FA7F3F05"/>
    <w:rsid w:val="FAFD66D4"/>
    <w:rsid w:val="FAFE45AC"/>
    <w:rsid w:val="FAFF53B3"/>
    <w:rsid w:val="FB3E15EF"/>
    <w:rsid w:val="FB712375"/>
    <w:rsid w:val="FBA73A05"/>
    <w:rsid w:val="FBDDA7A7"/>
    <w:rsid w:val="FBF77E42"/>
    <w:rsid w:val="FD69A466"/>
    <w:rsid w:val="FDB7E2BA"/>
    <w:rsid w:val="FDFE5390"/>
    <w:rsid w:val="FF3F596D"/>
    <w:rsid w:val="FF6A9239"/>
    <w:rsid w:val="FF7D5563"/>
    <w:rsid w:val="FFD7B281"/>
    <w:rsid w:val="FFF7B13B"/>
    <w:rsid w:val="FFFBE890"/>
    <w:rsid w:val="FFFE9B6F"/>
    <w:rsid w:val="FFFF3BB9"/>
    <w:rsid w:val="FFFFB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2025-10-29T09:47:00Z</dcterms:created>
  <dc:creator>高技处</dc:creator>
  <cp:lastModifiedBy>A1410021</cp:lastModifiedBy>
  <cp:lastPrinted>2025-10-31T01:12:00Z</cp:lastPrinted>
  <dcterms:modified xsi:type="dcterms:W3CDTF">2025-12-03T10:00:59Z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