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hint="eastAsia" w:ascii="黑体" w:hAnsi="黑体" w:eastAsia="黑体" w:cs="黑体"/>
          <w:color w:val="auto"/>
          <w:sz w:val="32"/>
          <w:szCs w:val="32"/>
        </w:rPr>
      </w:pPr>
    </w:p>
    <w:p>
      <w:pPr>
        <w:pStyle w:val="2"/>
        <w:jc w:val="center"/>
        <w:rPr>
          <w:rFonts w:ascii="Times New Roman" w:hAnsi="Times New Roman"/>
          <w:color w:val="auto"/>
          <w:sz w:val="40"/>
        </w:rPr>
      </w:pPr>
    </w:p>
    <w:p>
      <w:pPr>
        <w:pStyle w:val="2"/>
        <w:jc w:val="center"/>
        <w:rPr>
          <w:rFonts w:ascii="Times New Roman" w:hAnsi="Times New Roman"/>
          <w:color w:val="auto"/>
          <w:sz w:val="40"/>
        </w:rPr>
      </w:pPr>
    </w:p>
    <w:p>
      <w:pPr>
        <w:pStyle w:val="2"/>
        <w:spacing w:before="300" w:after="300" w:line="480" w:lineRule="auto"/>
        <w:jc w:val="center"/>
        <w:rPr>
          <w:rFonts w:ascii="黑体" w:hAnsi="黑体" w:eastAsia="黑体" w:cs="黑体"/>
          <w:color w:val="auto"/>
        </w:rPr>
      </w:pPr>
      <w:bookmarkStart w:id="0" w:name="_Toc7035"/>
      <w:bookmarkStart w:id="1" w:name="_Toc19176"/>
      <w:bookmarkStart w:id="2" w:name="_Toc11137"/>
      <w:bookmarkStart w:id="3" w:name="_Toc841"/>
      <w:bookmarkStart w:id="4" w:name="_Toc23331"/>
      <w:r>
        <w:rPr>
          <w:rFonts w:hint="eastAsia" w:ascii="黑体" w:hAnsi="黑体" w:eastAsia="黑体" w:cs="黑体"/>
          <w:color w:val="auto"/>
        </w:rPr>
        <w:t>广西</w:t>
      </w:r>
      <w:r>
        <w:rPr>
          <w:rFonts w:hint="eastAsia" w:ascii="黑体" w:hAnsi="黑体" w:eastAsia="黑体" w:cs="黑体"/>
          <w:color w:val="auto"/>
          <w:lang w:eastAsia="zh-CN"/>
        </w:rPr>
        <w:t>天然气</w:t>
      </w:r>
      <w:r>
        <w:rPr>
          <w:rFonts w:hint="eastAsia" w:ascii="黑体" w:hAnsi="黑体" w:eastAsia="黑体" w:cs="黑体"/>
          <w:color w:val="auto"/>
        </w:rPr>
        <w:t>储气设施建设专项规划</w:t>
      </w:r>
      <w:bookmarkEnd w:id="0"/>
      <w:bookmarkEnd w:id="1"/>
      <w:bookmarkEnd w:id="2"/>
      <w:bookmarkEnd w:id="3"/>
      <w:bookmarkEnd w:id="4"/>
    </w:p>
    <w:p>
      <w:pPr>
        <w:pStyle w:val="2"/>
        <w:spacing w:before="300" w:after="300" w:line="480" w:lineRule="auto"/>
        <w:jc w:val="center"/>
        <w:rPr>
          <w:rFonts w:ascii="黑体" w:hAnsi="黑体" w:eastAsia="黑体" w:cs="黑体"/>
          <w:color w:val="auto"/>
        </w:rPr>
      </w:pPr>
      <w:bookmarkStart w:id="5" w:name="_Toc26450"/>
      <w:bookmarkStart w:id="6" w:name="_Toc6122"/>
      <w:bookmarkStart w:id="7" w:name="_Toc17414"/>
      <w:bookmarkStart w:id="8" w:name="_Toc25451"/>
      <w:bookmarkStart w:id="9" w:name="_Toc17979"/>
      <w:r>
        <w:rPr>
          <w:rFonts w:hint="eastAsia" w:ascii="黑体" w:hAnsi="黑体" w:eastAsia="黑体" w:cs="黑体"/>
          <w:color w:val="auto"/>
        </w:rPr>
        <w:t>（2019-2025年）</w:t>
      </w:r>
      <w:bookmarkEnd w:id="5"/>
      <w:bookmarkEnd w:id="6"/>
      <w:bookmarkEnd w:id="7"/>
      <w:bookmarkEnd w:id="8"/>
      <w:bookmarkEnd w:id="9"/>
    </w:p>
    <w:p>
      <w:pPr>
        <w:rPr>
          <w:rFonts w:ascii="Times New Roman" w:hAnsi="Times New Roman"/>
          <w:color w:val="auto"/>
          <w:sz w:val="40"/>
        </w:rPr>
      </w:pPr>
    </w:p>
    <w:p>
      <w:pPr>
        <w:rPr>
          <w:rFonts w:ascii="Times New Roman" w:hAnsi="Times New Roman"/>
          <w:color w:val="auto"/>
          <w:sz w:val="40"/>
        </w:rPr>
      </w:pPr>
    </w:p>
    <w:p>
      <w:pPr>
        <w:rPr>
          <w:rFonts w:ascii="Times New Roman" w:hAnsi="Times New Roman"/>
          <w:color w:val="auto"/>
          <w:sz w:val="40"/>
        </w:rPr>
      </w:pPr>
    </w:p>
    <w:p>
      <w:pPr>
        <w:rPr>
          <w:rFonts w:ascii="Times New Roman" w:hAnsi="Times New Roman"/>
          <w:color w:val="auto"/>
          <w:sz w:val="40"/>
        </w:rPr>
      </w:pPr>
    </w:p>
    <w:p>
      <w:pPr>
        <w:rPr>
          <w:rFonts w:ascii="Times New Roman" w:hAnsi="Times New Roman"/>
          <w:color w:val="auto"/>
          <w:sz w:val="40"/>
        </w:rPr>
      </w:pPr>
    </w:p>
    <w:p>
      <w:pPr>
        <w:rPr>
          <w:rFonts w:ascii="Times New Roman" w:hAnsi="Times New Roman"/>
          <w:color w:val="auto"/>
          <w:sz w:val="40"/>
        </w:rPr>
      </w:pPr>
    </w:p>
    <w:p>
      <w:pPr>
        <w:rPr>
          <w:rFonts w:ascii="Times New Roman" w:hAnsi="Times New Roman"/>
          <w:color w:val="auto"/>
          <w:sz w:val="40"/>
        </w:rPr>
      </w:pPr>
    </w:p>
    <w:p>
      <w:pPr>
        <w:rPr>
          <w:rFonts w:ascii="Times New Roman" w:hAnsi="Times New Roman"/>
          <w:color w:val="auto"/>
          <w:sz w:val="40"/>
        </w:rPr>
      </w:pPr>
    </w:p>
    <w:p>
      <w:pPr>
        <w:rPr>
          <w:rFonts w:ascii="Times New Roman" w:hAnsi="Times New Roman"/>
          <w:color w:val="auto"/>
          <w:sz w:val="40"/>
        </w:rPr>
      </w:pPr>
    </w:p>
    <w:p>
      <w:pPr>
        <w:rPr>
          <w:rFonts w:ascii="Times New Roman" w:hAnsi="Times New Roman"/>
          <w:color w:val="auto"/>
          <w:sz w:val="40"/>
        </w:rPr>
      </w:pPr>
    </w:p>
    <w:p>
      <w:pPr>
        <w:jc w:val="center"/>
        <w:rPr>
          <w:rFonts w:ascii="黑体" w:hAnsi="黑体" w:eastAsia="黑体" w:cs="黑体"/>
          <w:b/>
          <w:bCs/>
          <w:color w:val="auto"/>
          <w:sz w:val="32"/>
          <w:szCs w:val="32"/>
        </w:rPr>
      </w:pPr>
      <w:r>
        <w:rPr>
          <w:rFonts w:hint="eastAsia" w:ascii="黑体" w:hAnsi="黑体" w:eastAsia="黑体" w:cs="黑体"/>
          <w:b/>
          <w:bCs/>
          <w:color w:val="auto"/>
          <w:sz w:val="32"/>
          <w:szCs w:val="32"/>
        </w:rPr>
        <w:t>广西壮族自治区发展和改革委员会</w:t>
      </w:r>
    </w:p>
    <w:p>
      <w:pPr>
        <w:jc w:val="center"/>
        <w:rPr>
          <w:rFonts w:ascii="黑体" w:hAnsi="黑体" w:eastAsia="黑体" w:cs="黑体"/>
          <w:b/>
          <w:bCs/>
          <w:color w:val="auto"/>
          <w:sz w:val="32"/>
          <w:szCs w:val="32"/>
        </w:rPr>
      </w:pPr>
      <w:r>
        <w:rPr>
          <w:rFonts w:hint="eastAsia" w:ascii="黑体" w:hAnsi="黑体" w:eastAsia="黑体" w:cs="黑体"/>
          <w:b/>
          <w:bCs/>
          <w:color w:val="auto"/>
          <w:sz w:val="32"/>
          <w:szCs w:val="32"/>
        </w:rPr>
        <w:t>2019年10月</w:t>
      </w:r>
    </w:p>
    <w:p>
      <w:pPr>
        <w:rPr>
          <w:rFonts w:ascii="Times New Roman" w:hAnsi="Times New Roman"/>
          <w:color w:val="auto"/>
        </w:rPr>
        <w:sectPr>
          <w:footerReference r:id="rId3" w:type="default"/>
          <w:pgSz w:w="11906" w:h="16838"/>
          <w:pgMar w:top="1440" w:right="1800" w:bottom="1440" w:left="1800" w:header="851" w:footer="992" w:gutter="0"/>
          <w:cols w:space="720" w:num="1"/>
          <w:docGrid w:type="lines" w:linePitch="312" w:charSpace="0"/>
        </w:sectPr>
      </w:pPr>
    </w:p>
    <w:p>
      <w:pPr>
        <w:pStyle w:val="2"/>
        <w:numPr>
          <w:ilvl w:val="0"/>
          <w:numId w:val="0"/>
        </w:numPr>
        <w:spacing w:before="0" w:after="0" w:line="240" w:lineRule="auto"/>
        <w:jc w:val="center"/>
        <w:rPr>
          <w:rFonts w:ascii="黑体" w:hAnsi="黑体" w:eastAsia="黑体" w:cs="黑体"/>
          <w:color w:val="auto"/>
        </w:rPr>
      </w:pPr>
      <w:bookmarkStart w:id="10" w:name="_Toc8957"/>
      <w:bookmarkStart w:id="11" w:name="_Toc2960"/>
      <w:bookmarkStart w:id="12" w:name="_Toc1223"/>
      <w:bookmarkStart w:id="13" w:name="_Toc32642"/>
      <w:bookmarkStart w:id="14" w:name="_Toc22654"/>
      <w:r>
        <w:rPr>
          <w:rFonts w:hint="eastAsia" w:ascii="黑体" w:hAnsi="黑体" w:eastAsia="黑体" w:cs="黑体"/>
          <w:color w:val="auto"/>
        </w:rPr>
        <w:t>目  录</w:t>
      </w:r>
      <w:bookmarkEnd w:id="10"/>
      <w:bookmarkEnd w:id="11"/>
      <w:bookmarkEnd w:id="12"/>
      <w:bookmarkEnd w:id="13"/>
      <w:bookmarkEnd w:id="14"/>
    </w:p>
    <w:p>
      <w:pPr>
        <w:pStyle w:val="5"/>
        <w:tabs>
          <w:tab w:val="right" w:leader="dot" w:pos="8306"/>
        </w:tabs>
        <w:rPr>
          <w:color w:val="auto"/>
        </w:rPr>
      </w:pPr>
      <w:r>
        <w:rPr>
          <w:rFonts w:ascii="黑体" w:hAnsi="黑体" w:eastAsia="黑体" w:cs="黑体"/>
          <w:color w:val="auto"/>
          <w:sz w:val="32"/>
          <w:szCs w:val="32"/>
        </w:rPr>
        <w:fldChar w:fldCharType="begin"/>
      </w:r>
      <w:r>
        <w:rPr>
          <w:rFonts w:ascii="黑体" w:hAnsi="黑体" w:eastAsia="黑体" w:cs="黑体"/>
          <w:color w:val="auto"/>
          <w:sz w:val="32"/>
          <w:szCs w:val="32"/>
        </w:rPr>
        <w:instrText xml:space="preserve">TOC \o "1-2" \h \u </w:instrText>
      </w:r>
      <w:r>
        <w:rPr>
          <w:rFonts w:ascii="黑体" w:hAnsi="黑体" w:eastAsia="黑体" w:cs="黑体"/>
          <w:color w:val="auto"/>
          <w:sz w:val="32"/>
          <w:szCs w:val="32"/>
        </w:rPr>
        <w:fldChar w:fldCharType="separate"/>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_Toc27080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一、 规划背景</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_Toc27080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_Toc21334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二、 发展现状及面临的形势</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_Toc21334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2</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_Toc7550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（一） 发展现状</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_Toc7550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2</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_Toc27327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（二） 面临形势</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_Toc27327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3</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_Toc32576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三、 总体要求</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_Toc32576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4</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_Toc3742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（一） 指导思想</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_Toc3742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4</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_Toc29903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（二） 基本原则</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_Toc29903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4</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_Toc21645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（三） 发展目标</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_Toc21645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6</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_Toc20686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四、 重点任务</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_Toc20686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9</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_Toc21068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（一）加快储气设施建设</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_Toc21068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9</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_Toc20735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（二）提高沿海LNG接卸能力</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_Toc20735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10</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_Toc22926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（三）</w:t>
      </w:r>
      <w:r>
        <w:rPr>
          <w:rFonts w:hint="eastAsia" w:ascii="仿宋" w:hAnsi="仿宋" w:eastAsia="仿宋" w:cs="仿宋"/>
          <w:color w:val="auto"/>
          <w:sz w:val="32"/>
          <w:szCs w:val="32"/>
          <w:highlight w:val="none"/>
          <w:lang w:val="en-US" w:eastAsia="zh-CN"/>
        </w:rPr>
        <w:t>加快天然气基础设施互联互通</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_Toc22926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10</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_Toc18268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四</w:t>
      </w:r>
      <w:r>
        <w:rPr>
          <w:rFonts w:hint="eastAsia" w:ascii="仿宋" w:hAnsi="仿宋" w:eastAsia="仿宋" w:cs="仿宋"/>
          <w:color w:val="auto"/>
          <w:sz w:val="32"/>
          <w:szCs w:val="32"/>
        </w:rPr>
        <w:t>）建立多层次天然气调峰储备体系</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_Toc18268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11</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_Toc26414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 xml:space="preserve">五、 </w:t>
      </w:r>
      <w:r>
        <w:rPr>
          <w:rFonts w:hint="eastAsia" w:ascii="仿宋" w:hAnsi="仿宋" w:eastAsia="仿宋" w:cs="仿宋"/>
          <w:color w:val="auto"/>
          <w:sz w:val="32"/>
          <w:szCs w:val="32"/>
          <w:lang w:eastAsia="zh-CN"/>
        </w:rPr>
        <w:t>环境影响评估</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_Toc26414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12</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_Toc3317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lang w:eastAsia="zh-CN"/>
        </w:rPr>
        <w:t>（一）</w:t>
      </w:r>
      <w:r>
        <w:rPr>
          <w:rFonts w:hint="eastAsia" w:ascii="仿宋" w:hAnsi="仿宋" w:eastAsia="仿宋" w:cs="仿宋"/>
          <w:color w:val="auto"/>
          <w:sz w:val="32"/>
          <w:szCs w:val="32"/>
        </w:rPr>
        <w:t>环境影响分析</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_Toc3317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12</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_Toc2328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lang w:eastAsia="zh-CN"/>
        </w:rPr>
        <w:t>（二）</w:t>
      </w:r>
      <w:r>
        <w:rPr>
          <w:rFonts w:hint="eastAsia" w:ascii="仿宋" w:hAnsi="仿宋" w:eastAsia="仿宋" w:cs="仿宋"/>
          <w:color w:val="auto"/>
          <w:sz w:val="32"/>
          <w:szCs w:val="32"/>
        </w:rPr>
        <w:t>环境保护措施</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_Toc2328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12</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_Toc5306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lang w:eastAsia="zh-CN"/>
        </w:rPr>
        <w:t>（三）</w:t>
      </w:r>
      <w:r>
        <w:rPr>
          <w:rFonts w:hint="eastAsia" w:ascii="仿宋" w:hAnsi="仿宋" w:eastAsia="仿宋" w:cs="仿宋"/>
          <w:color w:val="auto"/>
          <w:sz w:val="32"/>
          <w:szCs w:val="32"/>
        </w:rPr>
        <w:t>环境保护效果</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_Toc5306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13</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_Toc22631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六、 保障措施</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_Toc22631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13</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_Toc26008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（一）加强组织领导</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_Toc26008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13</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_Toc20872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（二）明确责任分工</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_Toc20872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14</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_Toc16029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（三）加快推进项目建设</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_Toc16029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14</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_Toc25188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（四）加强运营管理协调</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_Toc25188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15</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_Toc31984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（五）加强监督落实</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_Toc31984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15</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\l _Toc1753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附件</w:t>
      </w:r>
      <w:r>
        <w:rPr>
          <w:rFonts w:hint="eastAsia" w:ascii="仿宋" w:hAnsi="仿宋" w:eastAsia="仿宋" w:cs="仿宋"/>
          <w:color w:val="auto"/>
          <w:sz w:val="32"/>
          <w:szCs w:val="32"/>
        </w:rPr>
        <w:tab/>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PAGEREF _Toc1753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16</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end"/>
      </w:r>
    </w:p>
    <w:p>
      <w:pPr>
        <w:pStyle w:val="2"/>
        <w:numPr>
          <w:ilvl w:val="0"/>
          <w:numId w:val="0"/>
        </w:numPr>
        <w:spacing w:before="0" w:after="0" w:line="240" w:lineRule="auto"/>
        <w:rPr>
          <w:rFonts w:ascii="黑体" w:hAnsi="黑体" w:eastAsia="黑体" w:cs="黑体"/>
          <w:color w:val="auto"/>
          <w:sz w:val="32"/>
          <w:szCs w:val="32"/>
        </w:rPr>
        <w:sectPr>
          <w:footerReference r:id="rId4" w:type="default"/>
          <w:pgSz w:w="11906" w:h="16838"/>
          <w:pgMar w:top="1440" w:right="1800" w:bottom="1440" w:left="1800" w:header="851" w:footer="992" w:gutter="0"/>
          <w:cols w:space="720" w:num="1"/>
          <w:docGrid w:type="lines" w:linePitch="312" w:charSpace="0"/>
        </w:sectPr>
      </w:pPr>
      <w:r>
        <w:rPr>
          <w:rFonts w:ascii="黑体" w:hAnsi="黑体" w:eastAsia="黑体" w:cs="黑体"/>
          <w:color w:val="auto"/>
          <w:szCs w:val="32"/>
        </w:rPr>
        <w:fldChar w:fldCharType="end"/>
      </w:r>
    </w:p>
    <w:p>
      <w:pPr>
        <w:pStyle w:val="2"/>
        <w:numPr>
          <w:ilvl w:val="0"/>
          <w:numId w:val="1"/>
        </w:numPr>
        <w:spacing w:before="0" w:after="0" w:line="240" w:lineRule="auto"/>
        <w:ind w:firstLine="643" w:firstLineChars="200"/>
        <w:rPr>
          <w:rFonts w:ascii="Times New Roman" w:hAnsi="Times New Roman" w:eastAsia="黑体" w:cs="黑体"/>
          <w:color w:val="auto"/>
          <w:sz w:val="32"/>
          <w:szCs w:val="32"/>
        </w:rPr>
      </w:pPr>
      <w:bookmarkStart w:id="15" w:name="_Toc1716"/>
      <w:bookmarkStart w:id="16" w:name="_Toc23524"/>
      <w:bookmarkStart w:id="17" w:name="_Toc27080"/>
      <w:r>
        <w:rPr>
          <w:rFonts w:hint="eastAsia" w:ascii="Times New Roman" w:hAnsi="Times New Roman" w:eastAsia="黑体" w:cs="黑体"/>
          <w:color w:val="auto"/>
          <w:sz w:val="32"/>
          <w:szCs w:val="32"/>
        </w:rPr>
        <w:t>规划背景</w:t>
      </w:r>
      <w:bookmarkEnd w:id="15"/>
      <w:bookmarkEnd w:id="16"/>
      <w:bookmarkEnd w:id="17"/>
    </w:p>
    <w:p>
      <w:pPr>
        <w:ind w:firstLine="640" w:firstLineChars="200"/>
        <w:rPr>
          <w:rFonts w:ascii="仿宋" w:hAnsi="仿宋" w:eastAsia="仿宋" w:cs="仿宋"/>
          <w:color w:val="auto"/>
          <w:sz w:val="32"/>
        </w:rPr>
      </w:pPr>
      <w:r>
        <w:rPr>
          <w:rFonts w:hint="eastAsia" w:ascii="仿宋" w:hAnsi="仿宋" w:eastAsia="仿宋" w:cs="仿宋"/>
          <w:color w:val="auto"/>
          <w:sz w:val="32"/>
        </w:rPr>
        <w:t>为保持我国天然气供应稳定，加快补足储气能力短板，国务院印发了《国务院关于建立健全能源安全储备制度的指导意见》（国发〔2019〕7号）</w:t>
      </w:r>
      <w:r>
        <w:rPr>
          <w:rFonts w:hint="eastAsia" w:ascii="仿宋" w:hAnsi="仿宋" w:eastAsia="仿宋" w:cs="仿宋"/>
          <w:color w:val="auto"/>
          <w:sz w:val="32"/>
          <w:lang w:eastAsia="zh-CN"/>
        </w:rPr>
        <w:t>，</w:t>
      </w:r>
      <w:r>
        <w:rPr>
          <w:rFonts w:hint="eastAsia" w:ascii="仿宋" w:hAnsi="仿宋" w:eastAsia="仿宋" w:cs="仿宋"/>
          <w:color w:val="auto"/>
          <w:sz w:val="32"/>
        </w:rPr>
        <w:t>国家发展改革委先后印发《国家发展改革委</w:t>
      </w:r>
      <w:r>
        <w:rPr>
          <w:rFonts w:hint="eastAsia" w:ascii="仿宋" w:hAnsi="仿宋" w:eastAsia="仿宋" w:cs="仿宋"/>
          <w:color w:val="auto"/>
          <w:sz w:val="32"/>
          <w:lang w:val="en-US" w:eastAsia="zh-CN"/>
        </w:rPr>
        <w:t xml:space="preserve"> </w:t>
      </w:r>
      <w:r>
        <w:rPr>
          <w:rFonts w:hint="eastAsia" w:ascii="仿宋" w:hAnsi="仿宋" w:eastAsia="仿宋" w:cs="仿宋"/>
          <w:color w:val="auto"/>
          <w:sz w:val="32"/>
        </w:rPr>
        <w:t>国家能源局</w:t>
      </w:r>
      <w:r>
        <w:rPr>
          <w:rFonts w:hint="eastAsia" w:ascii="仿宋" w:hAnsi="仿宋" w:eastAsia="仿宋" w:cs="仿宋"/>
          <w:color w:val="auto"/>
          <w:sz w:val="32"/>
          <w:lang w:eastAsia="zh-CN"/>
        </w:rPr>
        <w:t>印发〈</w:t>
      </w:r>
      <w:r>
        <w:rPr>
          <w:rFonts w:hint="eastAsia" w:ascii="仿宋" w:hAnsi="仿宋" w:eastAsia="仿宋" w:cs="仿宋"/>
          <w:color w:val="auto"/>
          <w:sz w:val="32"/>
        </w:rPr>
        <w:t>关于加快储气设施建设和完善储气调峰辅助服务市场机制的意见</w:t>
      </w:r>
      <w:r>
        <w:rPr>
          <w:rFonts w:hint="eastAsia" w:ascii="仿宋" w:hAnsi="仿宋" w:eastAsia="仿宋" w:cs="仿宋"/>
          <w:color w:val="auto"/>
          <w:sz w:val="32"/>
          <w:lang w:eastAsia="zh-CN"/>
        </w:rPr>
        <w:t>〉的通知</w:t>
      </w:r>
      <w:r>
        <w:rPr>
          <w:rFonts w:hint="eastAsia" w:ascii="仿宋" w:hAnsi="仿宋" w:eastAsia="仿宋" w:cs="仿宋"/>
          <w:color w:val="auto"/>
          <w:sz w:val="32"/>
        </w:rPr>
        <w:t>》（发改能源规〔2018〕637号）、《国家发展和改革委员会办公厅关于统筹规划做好储气设施建设运行的通知》（发改办运行〔2018〕563号），要求以省级为单位制定储气设施建设专项规划，县级以上地方人民政府建立健全燃气应急储备制度，到2020年至少形成不低于保障本行政区域日均3天需求量的储气能力；城镇燃气企业建立天然气储备，到2020年形成不低于其年用气量5%的储气能力。</w:t>
      </w:r>
    </w:p>
    <w:p>
      <w:pPr>
        <w:ind w:firstLine="640" w:firstLineChars="200"/>
        <w:rPr>
          <w:rFonts w:ascii="仿宋" w:hAnsi="仿宋" w:eastAsia="仿宋" w:cs="仿宋"/>
          <w:color w:val="auto"/>
          <w:sz w:val="32"/>
        </w:rPr>
      </w:pPr>
      <w:r>
        <w:rPr>
          <w:rFonts w:hint="eastAsia" w:ascii="仿宋" w:hAnsi="仿宋" w:eastAsia="仿宋" w:cs="仿宋"/>
          <w:color w:val="auto"/>
          <w:sz w:val="32"/>
        </w:rPr>
        <w:t>为</w:t>
      </w:r>
      <w:r>
        <w:rPr>
          <w:rFonts w:hint="eastAsia" w:ascii="仿宋" w:hAnsi="仿宋" w:eastAsia="仿宋" w:cs="仿宋"/>
          <w:color w:val="auto"/>
          <w:sz w:val="32"/>
          <w:lang w:eastAsia="zh-CN"/>
        </w:rPr>
        <w:t>落实国家加强天然气储气能力建设的要求，</w:t>
      </w:r>
      <w:r>
        <w:rPr>
          <w:rFonts w:hint="eastAsia" w:ascii="仿宋" w:hAnsi="仿宋" w:eastAsia="仿宋" w:cs="仿宋"/>
          <w:color w:val="auto"/>
          <w:sz w:val="32"/>
        </w:rPr>
        <w:t>提高全区天然气应急调峰能力，统筹推进全区储气调峰体系建设，保障天然气供应需求，推动全区天然气利用高质量发展，根据</w:t>
      </w:r>
      <w:r>
        <w:rPr>
          <w:rFonts w:hint="eastAsia" w:ascii="仿宋" w:hAnsi="仿宋" w:eastAsia="仿宋" w:cs="仿宋"/>
          <w:color w:val="auto"/>
          <w:sz w:val="32"/>
          <w:szCs w:val="32"/>
          <w:lang w:val="zh-CN"/>
        </w:rPr>
        <w:t>《广西壮族自治区人民政府办公厅关于印发广西天然气产供储销体系建设实施方案的通知》（桂政办电〔</w:t>
      </w:r>
      <w:r>
        <w:rPr>
          <w:rFonts w:hint="eastAsia" w:ascii="仿宋" w:hAnsi="仿宋" w:eastAsia="仿宋" w:cs="仿宋"/>
          <w:color w:val="auto"/>
          <w:sz w:val="32"/>
          <w:szCs w:val="32"/>
        </w:rPr>
        <w:t>2018</w:t>
      </w:r>
      <w:r>
        <w:rPr>
          <w:rFonts w:hint="eastAsia" w:ascii="仿宋" w:hAnsi="仿宋" w:eastAsia="仿宋" w:cs="仿宋"/>
          <w:color w:val="auto"/>
          <w:sz w:val="32"/>
          <w:szCs w:val="32"/>
          <w:lang w:val="zh-CN"/>
        </w:rPr>
        <w:t>〕</w:t>
      </w:r>
      <w:r>
        <w:rPr>
          <w:rFonts w:hint="eastAsia" w:ascii="仿宋" w:hAnsi="仿宋" w:eastAsia="仿宋" w:cs="仿宋"/>
          <w:color w:val="auto"/>
          <w:sz w:val="32"/>
          <w:szCs w:val="32"/>
        </w:rPr>
        <w:t>148号）</w:t>
      </w:r>
      <w:r>
        <w:rPr>
          <w:rFonts w:hint="eastAsia" w:ascii="仿宋" w:hAnsi="仿宋" w:eastAsia="仿宋" w:cs="仿宋"/>
          <w:color w:val="auto"/>
          <w:sz w:val="32"/>
          <w:szCs w:val="32"/>
          <w:lang w:eastAsia="zh-CN"/>
        </w:rPr>
        <w:t>和</w:t>
      </w:r>
      <w:r>
        <w:rPr>
          <w:rFonts w:hint="eastAsia" w:ascii="仿宋" w:hAnsi="仿宋" w:eastAsia="仿宋" w:cs="仿宋"/>
          <w:color w:val="auto"/>
          <w:sz w:val="32"/>
        </w:rPr>
        <w:t>自治区人民政府与国家发展改革委、住房城乡建设部、能源局签订的《明确储气设施规划建设责任备忘录》的相关要求，结合全区气源供应和管网建设等实际情况，在储气设施建设需求的基础上编制本规划。</w:t>
      </w:r>
    </w:p>
    <w:p>
      <w:pPr>
        <w:ind w:firstLine="640" w:firstLineChars="200"/>
        <w:rPr>
          <w:rFonts w:ascii="仿宋" w:hAnsi="仿宋" w:eastAsia="仿宋" w:cs="仿宋"/>
          <w:color w:val="auto"/>
          <w:sz w:val="32"/>
        </w:rPr>
      </w:pPr>
      <w:r>
        <w:rPr>
          <w:rFonts w:hint="eastAsia" w:ascii="仿宋" w:hAnsi="仿宋" w:eastAsia="仿宋" w:cs="仿宋"/>
          <w:color w:val="auto"/>
          <w:sz w:val="32"/>
        </w:rPr>
        <w:t>本规划基准年为2018年</w:t>
      </w:r>
      <w:r>
        <w:rPr>
          <w:rFonts w:hint="eastAsia" w:ascii="仿宋" w:hAnsi="仿宋" w:eastAsia="仿宋" w:cs="仿宋"/>
          <w:color w:val="auto"/>
          <w:sz w:val="32"/>
          <w:lang w:eastAsia="zh-CN"/>
        </w:rPr>
        <w:t>，</w:t>
      </w:r>
      <w:r>
        <w:rPr>
          <w:rFonts w:hint="eastAsia" w:ascii="仿宋" w:hAnsi="仿宋" w:eastAsia="仿宋" w:cs="仿宋"/>
          <w:color w:val="auto"/>
          <w:sz w:val="32"/>
        </w:rPr>
        <w:t>规划年限为2019-202</w:t>
      </w:r>
      <w:r>
        <w:rPr>
          <w:rFonts w:hint="eastAsia" w:ascii="仿宋" w:hAnsi="仿宋" w:eastAsia="仿宋" w:cs="仿宋"/>
          <w:color w:val="auto"/>
          <w:sz w:val="32"/>
          <w:lang w:val="en-US" w:eastAsia="zh-CN"/>
        </w:rPr>
        <w:t>5年</w:t>
      </w:r>
      <w:r>
        <w:rPr>
          <w:rFonts w:hint="eastAsia" w:ascii="仿宋" w:hAnsi="仿宋" w:eastAsia="仿宋" w:cs="仿宋"/>
          <w:color w:val="auto"/>
          <w:sz w:val="32"/>
        </w:rPr>
        <w:t>。</w:t>
      </w:r>
    </w:p>
    <w:p>
      <w:pPr>
        <w:pStyle w:val="2"/>
        <w:numPr>
          <w:ilvl w:val="0"/>
          <w:numId w:val="1"/>
        </w:numPr>
        <w:spacing w:before="0" w:after="0" w:line="240" w:lineRule="auto"/>
        <w:ind w:firstLine="643" w:firstLineChars="200"/>
        <w:rPr>
          <w:rFonts w:ascii="Times New Roman" w:hAnsi="Times New Roman" w:eastAsia="黑体" w:cs="黑体"/>
          <w:color w:val="auto"/>
          <w:sz w:val="32"/>
          <w:szCs w:val="32"/>
        </w:rPr>
      </w:pPr>
      <w:bookmarkStart w:id="18" w:name="_Toc21334"/>
      <w:bookmarkStart w:id="19" w:name="_Toc26659"/>
      <w:bookmarkStart w:id="20" w:name="_Toc11652"/>
      <w:r>
        <w:rPr>
          <w:rFonts w:hint="eastAsia" w:ascii="Times New Roman" w:hAnsi="Times New Roman" w:eastAsia="黑体" w:cs="黑体"/>
          <w:color w:val="auto"/>
          <w:sz w:val="32"/>
          <w:szCs w:val="32"/>
        </w:rPr>
        <w:t>发展现状及面临的形势</w:t>
      </w:r>
      <w:bookmarkEnd w:id="18"/>
      <w:bookmarkEnd w:id="19"/>
      <w:bookmarkEnd w:id="20"/>
    </w:p>
    <w:p>
      <w:pPr>
        <w:pStyle w:val="3"/>
        <w:numPr>
          <w:ilvl w:val="0"/>
          <w:numId w:val="2"/>
        </w:numPr>
        <w:spacing w:before="0" w:after="0" w:line="240" w:lineRule="auto"/>
        <w:ind w:firstLine="643" w:firstLineChars="200"/>
        <w:rPr>
          <w:rFonts w:ascii="Times New Roman" w:hAnsi="Times New Roman" w:eastAsia="楷体" w:cs="楷体"/>
          <w:color w:val="auto"/>
        </w:rPr>
      </w:pPr>
      <w:bookmarkStart w:id="21" w:name="_Toc25469"/>
      <w:bookmarkStart w:id="22" w:name="_Toc7550"/>
      <w:bookmarkStart w:id="23" w:name="_Toc13007"/>
      <w:r>
        <w:rPr>
          <w:rFonts w:hint="eastAsia" w:ascii="Times New Roman" w:hAnsi="Times New Roman" w:eastAsia="楷体" w:cs="楷体"/>
          <w:color w:val="auto"/>
        </w:rPr>
        <w:t>发展现状</w:t>
      </w:r>
      <w:bookmarkEnd w:id="21"/>
      <w:bookmarkEnd w:id="22"/>
      <w:bookmarkEnd w:id="23"/>
    </w:p>
    <w:p>
      <w:pPr>
        <w:ind w:firstLine="640" w:firstLineChars="200"/>
        <w:rPr>
          <w:rFonts w:ascii="仿宋" w:hAnsi="仿宋" w:eastAsia="仿宋"/>
          <w:color w:val="auto"/>
          <w:sz w:val="32"/>
        </w:rPr>
      </w:pPr>
      <w:r>
        <w:rPr>
          <w:rFonts w:ascii="仿宋" w:hAnsi="仿宋" w:eastAsia="仿宋"/>
          <w:color w:val="auto"/>
          <w:sz w:val="32"/>
        </w:rPr>
        <w:t>201</w:t>
      </w:r>
      <w:r>
        <w:rPr>
          <w:rFonts w:hint="eastAsia" w:ascii="仿宋" w:hAnsi="仿宋" w:eastAsia="仿宋"/>
          <w:color w:val="auto"/>
          <w:sz w:val="32"/>
        </w:rPr>
        <w:t>2</w:t>
      </w:r>
      <w:r>
        <w:rPr>
          <w:rFonts w:ascii="仿宋" w:hAnsi="仿宋" w:eastAsia="仿宋"/>
          <w:color w:val="auto"/>
          <w:sz w:val="32"/>
        </w:rPr>
        <w:t>年</w:t>
      </w:r>
      <w:r>
        <w:rPr>
          <w:rFonts w:hint="eastAsia" w:ascii="仿宋" w:hAnsi="仿宋" w:eastAsia="仿宋"/>
          <w:color w:val="auto"/>
          <w:sz w:val="32"/>
        </w:rPr>
        <w:t>12月和2013年10月，</w:t>
      </w:r>
      <w:r>
        <w:rPr>
          <w:rFonts w:ascii="仿宋" w:hAnsi="仿宋" w:eastAsia="仿宋"/>
          <w:color w:val="auto"/>
          <w:sz w:val="32"/>
        </w:rPr>
        <w:t>西</w:t>
      </w:r>
      <w:r>
        <w:rPr>
          <w:rFonts w:hint="eastAsia" w:ascii="仿宋" w:hAnsi="仿宋" w:eastAsia="仿宋"/>
          <w:color w:val="auto"/>
          <w:sz w:val="32"/>
        </w:rPr>
        <w:t>气东输</w:t>
      </w:r>
      <w:r>
        <w:rPr>
          <w:rFonts w:ascii="仿宋" w:hAnsi="仿宋" w:eastAsia="仿宋"/>
          <w:color w:val="auto"/>
          <w:sz w:val="32"/>
        </w:rPr>
        <w:t>二线</w:t>
      </w:r>
      <w:r>
        <w:rPr>
          <w:rFonts w:hint="eastAsia" w:ascii="仿宋" w:hAnsi="仿宋" w:eastAsia="仿宋"/>
          <w:color w:val="auto"/>
          <w:sz w:val="32"/>
        </w:rPr>
        <w:t>广</w:t>
      </w:r>
      <w:r>
        <w:rPr>
          <w:rFonts w:ascii="仿宋" w:hAnsi="仿宋" w:eastAsia="仿宋"/>
          <w:color w:val="auto"/>
          <w:sz w:val="32"/>
        </w:rPr>
        <w:t>南支干线、中缅天然气管道</w:t>
      </w:r>
      <w:r>
        <w:rPr>
          <w:rFonts w:hint="eastAsia" w:ascii="仿宋" w:hAnsi="仿宋" w:eastAsia="仿宋"/>
          <w:color w:val="auto"/>
          <w:sz w:val="32"/>
        </w:rPr>
        <w:t>先后</w:t>
      </w:r>
      <w:r>
        <w:rPr>
          <w:rFonts w:ascii="仿宋" w:hAnsi="仿宋" w:eastAsia="仿宋"/>
          <w:color w:val="auto"/>
          <w:sz w:val="32"/>
        </w:rPr>
        <w:t>向广西供气</w:t>
      </w:r>
      <w:r>
        <w:rPr>
          <w:rFonts w:hint="eastAsia" w:ascii="仿宋" w:hAnsi="仿宋" w:eastAsia="仿宋"/>
          <w:color w:val="auto"/>
          <w:sz w:val="32"/>
        </w:rPr>
        <w:t>。</w:t>
      </w:r>
      <w:r>
        <w:rPr>
          <w:rFonts w:ascii="仿宋" w:hAnsi="仿宋" w:eastAsia="仿宋"/>
          <w:color w:val="auto"/>
          <w:sz w:val="32"/>
        </w:rPr>
        <w:t>经过</w:t>
      </w:r>
      <w:r>
        <w:rPr>
          <w:rFonts w:hint="eastAsia" w:ascii="仿宋" w:hAnsi="仿宋" w:eastAsia="仿宋"/>
          <w:color w:val="auto"/>
          <w:sz w:val="32"/>
        </w:rPr>
        <w:t>5</w:t>
      </w:r>
      <w:r>
        <w:rPr>
          <w:rFonts w:ascii="仿宋" w:hAnsi="仿宋" w:eastAsia="仿宋"/>
          <w:color w:val="auto"/>
          <w:sz w:val="32"/>
        </w:rPr>
        <w:t>年的天然气</w:t>
      </w:r>
      <w:r>
        <w:rPr>
          <w:rFonts w:hint="eastAsia" w:ascii="仿宋" w:hAnsi="仿宋" w:eastAsia="仿宋"/>
          <w:color w:val="auto"/>
          <w:sz w:val="32"/>
        </w:rPr>
        <w:t>建设和</w:t>
      </w:r>
      <w:r>
        <w:rPr>
          <w:rFonts w:ascii="仿宋" w:hAnsi="仿宋" w:eastAsia="仿宋"/>
          <w:color w:val="auto"/>
          <w:sz w:val="32"/>
        </w:rPr>
        <w:t>市场培育，广西天然气利用水平得到</w:t>
      </w:r>
      <w:r>
        <w:rPr>
          <w:rFonts w:hint="eastAsia" w:ascii="仿宋" w:hAnsi="仿宋" w:eastAsia="仿宋"/>
          <w:color w:val="auto"/>
          <w:sz w:val="32"/>
        </w:rPr>
        <w:t>了</w:t>
      </w:r>
      <w:r>
        <w:rPr>
          <w:rFonts w:ascii="仿宋" w:hAnsi="仿宋" w:eastAsia="仿宋"/>
          <w:color w:val="auto"/>
          <w:sz w:val="32"/>
        </w:rPr>
        <w:t>大幅提高。2018年</w:t>
      </w:r>
      <w:r>
        <w:rPr>
          <w:rFonts w:hint="eastAsia" w:ascii="仿宋" w:hAnsi="仿宋" w:eastAsia="仿宋"/>
          <w:color w:val="auto"/>
          <w:sz w:val="32"/>
        </w:rPr>
        <w:t>，</w:t>
      </w:r>
      <w:r>
        <w:rPr>
          <w:rFonts w:ascii="仿宋" w:hAnsi="仿宋" w:eastAsia="仿宋"/>
          <w:color w:val="auto"/>
          <w:sz w:val="32"/>
        </w:rPr>
        <w:t>广西天然气消费总量为22.52亿立方米，同比增长62.7%。</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rPr>
        <w:t>目前我区气源主要有</w:t>
      </w:r>
      <w:r>
        <w:rPr>
          <w:rFonts w:ascii="仿宋" w:hAnsi="仿宋" w:eastAsia="仿宋"/>
          <w:color w:val="auto"/>
          <w:sz w:val="32"/>
        </w:rPr>
        <w:t>西</w:t>
      </w:r>
      <w:r>
        <w:rPr>
          <w:rFonts w:hint="eastAsia" w:ascii="仿宋" w:hAnsi="仿宋" w:eastAsia="仿宋"/>
          <w:color w:val="auto"/>
          <w:sz w:val="32"/>
        </w:rPr>
        <w:t>气东输</w:t>
      </w:r>
      <w:r>
        <w:rPr>
          <w:rFonts w:ascii="仿宋" w:hAnsi="仿宋" w:eastAsia="仿宋"/>
          <w:color w:val="auto"/>
          <w:sz w:val="32"/>
        </w:rPr>
        <w:t>二线</w:t>
      </w:r>
      <w:r>
        <w:rPr>
          <w:rFonts w:hint="eastAsia" w:ascii="仿宋" w:hAnsi="仿宋" w:eastAsia="仿宋"/>
          <w:color w:val="auto"/>
          <w:sz w:val="32"/>
        </w:rPr>
        <w:t>广</w:t>
      </w:r>
      <w:r>
        <w:rPr>
          <w:rFonts w:ascii="仿宋" w:hAnsi="仿宋" w:eastAsia="仿宋"/>
          <w:color w:val="auto"/>
          <w:sz w:val="32"/>
        </w:rPr>
        <w:t>南支干线</w:t>
      </w:r>
      <w:r>
        <w:rPr>
          <w:rFonts w:hint="eastAsia" w:ascii="仿宋" w:hAnsi="仿宋" w:eastAsia="仿宋" w:cs="仿宋"/>
          <w:color w:val="auto"/>
          <w:sz w:val="32"/>
        </w:rPr>
        <w:t>、中缅天然气管道及沿海LNG</w:t>
      </w:r>
      <w:r>
        <w:rPr>
          <w:rFonts w:hint="eastAsia" w:ascii="仿宋" w:hAnsi="仿宋" w:eastAsia="仿宋" w:cs="仿宋"/>
          <w:color w:val="auto"/>
          <w:sz w:val="32"/>
          <w:lang w:eastAsia="zh-CN"/>
        </w:rPr>
        <w:t>接收站、储运站</w:t>
      </w:r>
      <w:r>
        <w:rPr>
          <w:rFonts w:hint="eastAsia" w:ascii="仿宋" w:hAnsi="仿宋" w:eastAsia="仿宋" w:cs="仿宋"/>
          <w:color w:val="auto"/>
          <w:sz w:val="32"/>
        </w:rPr>
        <w:t>，</w:t>
      </w:r>
      <w:r>
        <w:rPr>
          <w:rFonts w:hint="eastAsia" w:ascii="仿宋" w:hAnsi="仿宋" w:eastAsia="仿宋" w:cs="仿宋"/>
          <w:color w:val="auto"/>
          <w:sz w:val="32"/>
          <w:szCs w:val="32"/>
        </w:rPr>
        <w:t>初步形成以</w:t>
      </w:r>
      <w:r>
        <w:rPr>
          <w:rFonts w:ascii="仿宋" w:hAnsi="仿宋" w:eastAsia="仿宋"/>
          <w:color w:val="auto"/>
          <w:sz w:val="32"/>
        </w:rPr>
        <w:t>西</w:t>
      </w:r>
      <w:r>
        <w:rPr>
          <w:rFonts w:hint="eastAsia" w:ascii="仿宋" w:hAnsi="仿宋" w:eastAsia="仿宋"/>
          <w:color w:val="auto"/>
          <w:sz w:val="32"/>
        </w:rPr>
        <w:t>气东输</w:t>
      </w:r>
      <w:r>
        <w:rPr>
          <w:rFonts w:ascii="仿宋" w:hAnsi="仿宋" w:eastAsia="仿宋"/>
          <w:color w:val="auto"/>
          <w:sz w:val="32"/>
        </w:rPr>
        <w:t>二线</w:t>
      </w:r>
      <w:r>
        <w:rPr>
          <w:rFonts w:hint="eastAsia" w:ascii="仿宋" w:hAnsi="仿宋" w:eastAsia="仿宋"/>
          <w:color w:val="auto"/>
          <w:sz w:val="32"/>
        </w:rPr>
        <w:t>广</w:t>
      </w:r>
      <w:r>
        <w:rPr>
          <w:rFonts w:ascii="仿宋" w:hAnsi="仿宋" w:eastAsia="仿宋"/>
          <w:color w:val="auto"/>
          <w:sz w:val="32"/>
        </w:rPr>
        <w:t>南支干线</w:t>
      </w:r>
      <w:r>
        <w:rPr>
          <w:rFonts w:hint="eastAsia" w:ascii="仿宋" w:hAnsi="仿宋" w:eastAsia="仿宋" w:cs="仿宋"/>
          <w:color w:val="auto"/>
          <w:sz w:val="32"/>
          <w:szCs w:val="32"/>
        </w:rPr>
        <w:t>、中缅天然气管道和广西北海LNG外输管道三大主动脉供气的格局。截至2018年底，广西区域内已建和在建天然气</w:t>
      </w:r>
      <w:r>
        <w:rPr>
          <w:rFonts w:hint="eastAsia" w:ascii="仿宋" w:hAnsi="仿宋" w:eastAsia="仿宋" w:cs="仿宋"/>
          <w:color w:val="auto"/>
          <w:sz w:val="32"/>
          <w:szCs w:val="32"/>
          <w:lang w:eastAsia="zh-CN"/>
        </w:rPr>
        <w:t>长输管道干支线</w:t>
      </w:r>
      <w:r>
        <w:rPr>
          <w:rFonts w:hint="eastAsia" w:ascii="仿宋" w:hAnsi="仿宋" w:eastAsia="仿宋" w:cs="仿宋"/>
          <w:color w:val="auto"/>
          <w:sz w:val="32"/>
          <w:szCs w:val="32"/>
        </w:rPr>
        <w:t>总</w:t>
      </w:r>
      <w:r>
        <w:rPr>
          <w:rFonts w:hint="eastAsia" w:ascii="仿宋" w:hAnsi="仿宋" w:eastAsia="仿宋" w:cs="仿宋"/>
          <w:color w:val="auto"/>
          <w:sz w:val="32"/>
          <w:szCs w:val="32"/>
          <w:lang w:eastAsia="zh-CN"/>
        </w:rPr>
        <w:t>里程</w:t>
      </w:r>
      <w:r>
        <w:rPr>
          <w:rFonts w:hint="eastAsia" w:ascii="仿宋" w:hAnsi="仿宋" w:eastAsia="仿宋" w:cs="仿宋"/>
          <w:color w:val="auto"/>
          <w:sz w:val="32"/>
          <w:szCs w:val="32"/>
        </w:rPr>
        <w:t>为2704千米，其中上游管道总里程2311千米，中游管道总</w:t>
      </w:r>
      <w:r>
        <w:rPr>
          <w:rFonts w:hint="eastAsia" w:ascii="仿宋" w:hAnsi="仿宋" w:eastAsia="仿宋" w:cs="仿宋"/>
          <w:color w:val="auto"/>
          <w:sz w:val="32"/>
          <w:szCs w:val="32"/>
          <w:lang w:eastAsia="zh-CN"/>
        </w:rPr>
        <w:t>里程</w:t>
      </w:r>
      <w:r>
        <w:rPr>
          <w:rFonts w:hint="eastAsia" w:ascii="仿宋" w:hAnsi="仿宋" w:eastAsia="仿宋" w:cs="仿宋"/>
          <w:color w:val="auto"/>
          <w:sz w:val="32"/>
          <w:szCs w:val="32"/>
        </w:rPr>
        <w:t>393千米。</w:t>
      </w:r>
      <w:r>
        <w:rPr>
          <w:rFonts w:hint="eastAsia" w:ascii="仿宋" w:hAnsi="仿宋" w:eastAsia="仿宋" w:cs="仿宋"/>
          <w:color w:val="auto"/>
          <w:sz w:val="32"/>
          <w:szCs w:val="32"/>
          <w:lang w:eastAsia="zh-CN"/>
        </w:rPr>
        <w:t>长输管道已</w:t>
      </w:r>
      <w:r>
        <w:rPr>
          <w:rFonts w:hint="eastAsia" w:ascii="仿宋" w:hAnsi="仿宋" w:eastAsia="仿宋" w:cs="仿宋"/>
          <w:color w:val="auto"/>
          <w:sz w:val="32"/>
          <w:szCs w:val="32"/>
        </w:rPr>
        <w:t>通气城市1</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个，</w:t>
      </w:r>
      <w:r>
        <w:rPr>
          <w:rFonts w:hint="eastAsia" w:ascii="仿宋" w:hAnsi="仿宋" w:eastAsia="仿宋" w:cs="仿宋"/>
          <w:color w:val="auto"/>
          <w:sz w:val="32"/>
          <w:szCs w:val="32"/>
        </w:rPr>
        <w:t>县</w:t>
      </w:r>
      <w:r>
        <w:rPr>
          <w:rFonts w:hint="eastAsia" w:ascii="仿宋" w:hAnsi="仿宋" w:eastAsia="仿宋" w:cs="仿宋"/>
          <w:color w:val="auto"/>
          <w:sz w:val="32"/>
          <w:szCs w:val="32"/>
          <w:lang w:eastAsia="zh-CN"/>
        </w:rPr>
        <w:t>（区、</w:t>
      </w:r>
      <w:r>
        <w:rPr>
          <w:rFonts w:hint="eastAsia" w:ascii="仿宋" w:hAnsi="仿宋" w:eastAsia="仿宋" w:cs="仿宋"/>
          <w:color w:val="auto"/>
          <w:sz w:val="32"/>
          <w:szCs w:val="32"/>
        </w:rPr>
        <w:t>市</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2个</w:t>
      </w:r>
      <w:r>
        <w:rPr>
          <w:rFonts w:hint="eastAsia" w:ascii="仿宋" w:hAnsi="仿宋" w:eastAsia="仿宋" w:cs="仿宋"/>
          <w:color w:val="auto"/>
          <w:sz w:val="32"/>
          <w:szCs w:val="32"/>
        </w:rPr>
        <w:t>，已建成18座天然气分输站，在建7座分输站。全区城</w:t>
      </w:r>
      <w:r>
        <w:rPr>
          <w:rFonts w:hint="eastAsia" w:ascii="仿宋" w:hAnsi="仿宋" w:eastAsia="仿宋" w:cs="仿宋"/>
          <w:color w:val="auto"/>
          <w:sz w:val="32"/>
          <w:szCs w:val="32"/>
          <w:lang w:eastAsia="zh-CN"/>
        </w:rPr>
        <w:t>镇</w:t>
      </w:r>
      <w:r>
        <w:rPr>
          <w:rFonts w:hint="eastAsia" w:ascii="仿宋" w:hAnsi="仿宋" w:eastAsia="仿宋" w:cs="仿宋"/>
          <w:color w:val="auto"/>
          <w:sz w:val="32"/>
          <w:szCs w:val="32"/>
        </w:rPr>
        <w:t>燃气企业完成供气管道建设7802千米</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建成</w:t>
      </w:r>
      <w:r>
        <w:rPr>
          <w:rFonts w:hint="eastAsia" w:ascii="仿宋" w:hAnsi="仿宋" w:eastAsia="仿宋" w:cs="仿宋"/>
          <w:color w:val="auto"/>
          <w:sz w:val="32"/>
        </w:rPr>
        <w:t>LNG接收站</w:t>
      </w:r>
      <w:r>
        <w:rPr>
          <w:rFonts w:hint="eastAsia" w:ascii="仿宋" w:hAnsi="仿宋" w:eastAsia="仿宋" w:cs="仿宋"/>
          <w:color w:val="auto"/>
          <w:sz w:val="32"/>
          <w:lang w:val="en-US" w:eastAsia="zh-CN"/>
        </w:rPr>
        <w:t>1</w:t>
      </w:r>
      <w:r>
        <w:rPr>
          <w:rFonts w:hint="eastAsia" w:ascii="仿宋" w:hAnsi="仿宋" w:eastAsia="仿宋" w:cs="仿宋"/>
          <w:color w:val="auto"/>
          <w:sz w:val="32"/>
        </w:rPr>
        <w:t>座，</w:t>
      </w:r>
      <w:r>
        <w:rPr>
          <w:rFonts w:hint="eastAsia" w:ascii="仿宋" w:hAnsi="仿宋" w:eastAsia="仿宋" w:cs="仿宋"/>
          <w:color w:val="auto"/>
          <w:sz w:val="32"/>
          <w:lang w:eastAsia="zh-CN"/>
        </w:rPr>
        <w:t>即</w:t>
      </w:r>
      <w:r>
        <w:rPr>
          <w:rFonts w:hint="eastAsia" w:ascii="仿宋" w:hAnsi="仿宋" w:eastAsia="仿宋" w:cs="仿宋"/>
          <w:color w:val="auto"/>
          <w:sz w:val="32"/>
        </w:rPr>
        <w:t>位于北海铁山港的中石化北海LNG接收站一期（年300万吨LNG）</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建成储运站1座，即</w:t>
      </w:r>
      <w:r>
        <w:rPr>
          <w:rFonts w:hint="eastAsia" w:ascii="仿宋" w:hAnsi="仿宋" w:eastAsia="仿宋" w:cs="仿宋"/>
          <w:color w:val="auto"/>
          <w:sz w:val="32"/>
        </w:rPr>
        <w:t>位于防城港市港口区的中海油广西LNG储运中心项目（年60万吨LNG）。</w:t>
      </w:r>
    </w:p>
    <w:p>
      <w:pPr>
        <w:ind w:firstLine="640" w:firstLineChars="200"/>
        <w:rPr>
          <w:rFonts w:ascii="仿宋" w:hAnsi="仿宋" w:eastAsia="仿宋" w:cs="仿宋"/>
          <w:color w:val="auto"/>
          <w:sz w:val="32"/>
        </w:rPr>
      </w:pPr>
      <w:r>
        <w:rPr>
          <w:rFonts w:hint="eastAsia" w:ascii="仿宋" w:hAnsi="仿宋" w:eastAsia="仿宋" w:cs="仿宋"/>
          <w:color w:val="auto"/>
          <w:sz w:val="32"/>
          <w:szCs w:val="32"/>
        </w:rPr>
        <w:t>根据“气化广西”的初步成果，</w:t>
      </w:r>
      <w:r>
        <w:rPr>
          <w:rFonts w:hint="eastAsia" w:ascii="仿宋" w:hAnsi="仿宋" w:eastAsia="仿宋" w:cs="仿宋"/>
          <w:color w:val="auto"/>
          <w:sz w:val="32"/>
        </w:rPr>
        <w:t>目前全区</w:t>
      </w:r>
      <w:r>
        <w:rPr>
          <w:rFonts w:hint="eastAsia" w:ascii="仿宋" w:hAnsi="仿宋" w:eastAsia="仿宋" w:cs="仿宋"/>
          <w:color w:val="auto"/>
          <w:sz w:val="32"/>
          <w:szCs w:val="32"/>
        </w:rPr>
        <w:t>城</w:t>
      </w:r>
      <w:r>
        <w:rPr>
          <w:rFonts w:hint="eastAsia" w:ascii="仿宋" w:hAnsi="仿宋" w:eastAsia="仿宋" w:cs="仿宋"/>
          <w:color w:val="auto"/>
          <w:sz w:val="32"/>
          <w:szCs w:val="32"/>
          <w:lang w:eastAsia="zh-CN"/>
        </w:rPr>
        <w:t>镇</w:t>
      </w:r>
      <w:r>
        <w:rPr>
          <w:rFonts w:hint="eastAsia" w:ascii="仿宋" w:hAnsi="仿宋" w:eastAsia="仿宋" w:cs="仿宋"/>
          <w:color w:val="auto"/>
          <w:sz w:val="32"/>
          <w:szCs w:val="32"/>
        </w:rPr>
        <w:t>燃气企业</w:t>
      </w:r>
      <w:r>
        <w:rPr>
          <w:rFonts w:hint="eastAsia" w:ascii="仿宋" w:hAnsi="仿宋" w:eastAsia="仿宋" w:cs="仿宋"/>
          <w:color w:val="auto"/>
          <w:sz w:val="32"/>
        </w:rPr>
        <w:t>已有储气能力</w:t>
      </w:r>
      <w:r>
        <w:rPr>
          <w:rFonts w:hint="eastAsia" w:ascii="仿宋" w:hAnsi="仿宋" w:eastAsia="仿宋" w:cs="仿宋"/>
          <w:color w:val="auto"/>
          <w:sz w:val="32"/>
          <w:lang w:val="en-US" w:eastAsia="zh-CN"/>
        </w:rPr>
        <w:t>970</w:t>
      </w:r>
      <w:r>
        <w:rPr>
          <w:rFonts w:hint="eastAsia" w:ascii="仿宋" w:hAnsi="仿宋" w:eastAsia="仿宋" w:cs="仿宋"/>
          <w:color w:val="auto"/>
          <w:sz w:val="32"/>
        </w:rPr>
        <w:t>万立方米，</w:t>
      </w:r>
      <w:r>
        <w:rPr>
          <w:rFonts w:hint="eastAsia" w:ascii="仿宋" w:hAnsi="仿宋" w:eastAsia="仿宋" w:cs="仿宋"/>
          <w:color w:val="auto"/>
          <w:sz w:val="32"/>
          <w:lang w:eastAsia="zh-CN"/>
        </w:rPr>
        <w:t>仍远</w:t>
      </w:r>
      <w:r>
        <w:rPr>
          <w:rFonts w:hint="eastAsia" w:ascii="仿宋" w:hAnsi="仿宋" w:eastAsia="仿宋" w:cs="仿宋"/>
          <w:color w:val="auto"/>
          <w:sz w:val="32"/>
        </w:rPr>
        <w:t>低于国家对地方储气能力的要求。</w:t>
      </w:r>
    </w:p>
    <w:p>
      <w:pPr>
        <w:pStyle w:val="3"/>
        <w:numPr>
          <w:ilvl w:val="0"/>
          <w:numId w:val="2"/>
        </w:numPr>
        <w:spacing w:before="0" w:after="0" w:line="240" w:lineRule="auto"/>
        <w:ind w:firstLine="643" w:firstLineChars="200"/>
        <w:rPr>
          <w:rFonts w:ascii="仿宋" w:hAnsi="仿宋" w:eastAsia="仿宋"/>
          <w:color w:val="auto"/>
        </w:rPr>
      </w:pPr>
      <w:bookmarkStart w:id="24" w:name="_Toc11350"/>
      <w:bookmarkStart w:id="25" w:name="_Toc10486"/>
      <w:bookmarkStart w:id="26" w:name="_Toc27327"/>
      <w:r>
        <w:rPr>
          <w:rFonts w:hint="eastAsia" w:ascii="Times New Roman" w:hAnsi="Times New Roman" w:eastAsia="楷体" w:cs="楷体"/>
          <w:color w:val="auto"/>
        </w:rPr>
        <w:t>面临形势</w:t>
      </w:r>
      <w:bookmarkEnd w:id="24"/>
      <w:bookmarkEnd w:id="25"/>
      <w:bookmarkEnd w:id="26"/>
    </w:p>
    <w:p>
      <w:pPr>
        <w:ind w:firstLine="643" w:firstLineChars="200"/>
        <w:rPr>
          <w:rFonts w:ascii="仿宋" w:hAnsi="仿宋" w:eastAsia="仿宋" w:cs="仿宋"/>
          <w:color w:val="auto"/>
          <w:sz w:val="32"/>
        </w:rPr>
      </w:pPr>
      <w:r>
        <w:rPr>
          <w:rFonts w:hint="eastAsia" w:ascii="Times New Roman" w:hAnsi="Times New Roman" w:eastAsia="仿宋"/>
          <w:b/>
          <w:color w:val="auto"/>
          <w:sz w:val="32"/>
        </w:rPr>
        <w:t>储气设施建设时间紧任务重。</w:t>
      </w:r>
      <w:r>
        <w:rPr>
          <w:rFonts w:hint="eastAsia" w:ascii="仿宋" w:hAnsi="仿宋" w:eastAsia="仿宋" w:cs="仿宋"/>
          <w:color w:val="auto"/>
          <w:sz w:val="32"/>
        </w:rPr>
        <w:t>根据</w:t>
      </w:r>
      <w:r>
        <w:rPr>
          <w:rFonts w:hint="eastAsia" w:ascii="仿宋" w:hAnsi="仿宋" w:eastAsia="仿宋" w:cs="仿宋"/>
          <w:color w:val="auto"/>
          <w:sz w:val="32"/>
          <w:lang w:eastAsia="zh-CN"/>
        </w:rPr>
        <w:t>《广西能源发展“十三五”规划中期评估报告》和</w:t>
      </w:r>
      <w:r>
        <w:rPr>
          <w:rFonts w:hint="eastAsia" w:ascii="仿宋" w:hAnsi="仿宋" w:eastAsia="仿宋" w:cs="仿宋"/>
          <w:color w:val="auto"/>
          <w:sz w:val="32"/>
        </w:rPr>
        <w:t>“气化广西”的初步成果，</w:t>
      </w:r>
      <w:r>
        <w:rPr>
          <w:rFonts w:hint="eastAsia" w:ascii="仿宋" w:hAnsi="仿宋" w:eastAsia="仿宋" w:cs="仿宋"/>
          <w:color w:val="auto"/>
          <w:sz w:val="32"/>
          <w:lang w:eastAsia="zh-CN"/>
        </w:rPr>
        <w:t>结合广西</w:t>
      </w:r>
      <w:r>
        <w:rPr>
          <w:rFonts w:hint="eastAsia" w:ascii="仿宋" w:hAnsi="仿宋" w:eastAsia="仿宋" w:cs="仿宋"/>
          <w:color w:val="auto"/>
          <w:sz w:val="32"/>
          <w:lang w:val="en-US" w:eastAsia="zh-CN"/>
        </w:rPr>
        <w:t>2018年天然气实际消费数据和全区管网建设推进情况，</w:t>
      </w:r>
      <w:r>
        <w:rPr>
          <w:rFonts w:hint="eastAsia" w:ascii="仿宋" w:hAnsi="仿宋" w:eastAsia="仿宋" w:cs="仿宋"/>
          <w:color w:val="auto"/>
          <w:sz w:val="32"/>
        </w:rPr>
        <w:t>预计到2020、2025年全区天然气消费量分别为4</w:t>
      </w:r>
      <w:r>
        <w:rPr>
          <w:rFonts w:hint="eastAsia" w:ascii="仿宋" w:hAnsi="仿宋" w:eastAsia="仿宋" w:cs="仿宋"/>
          <w:color w:val="auto"/>
          <w:sz w:val="32"/>
          <w:lang w:val="en-US" w:eastAsia="zh-CN"/>
        </w:rPr>
        <w:t>0</w:t>
      </w:r>
      <w:r>
        <w:rPr>
          <w:rFonts w:hint="eastAsia" w:ascii="仿宋" w:hAnsi="仿宋" w:eastAsia="仿宋" w:cs="仿宋"/>
          <w:color w:val="auto"/>
          <w:sz w:val="32"/>
        </w:rPr>
        <w:t>、105亿立方米，其中城镇燃气</w:t>
      </w:r>
      <w:r>
        <w:rPr>
          <w:rFonts w:hint="eastAsia" w:ascii="仿宋" w:hAnsi="仿宋" w:eastAsia="仿宋" w:cs="仿宋"/>
          <w:color w:val="auto"/>
          <w:sz w:val="32"/>
          <w:lang w:eastAsia="zh-CN"/>
        </w:rPr>
        <w:t>供气量</w:t>
      </w:r>
      <w:r>
        <w:rPr>
          <w:rFonts w:hint="eastAsia" w:ascii="仿宋" w:hAnsi="仿宋" w:eastAsia="仿宋" w:cs="仿宋"/>
          <w:color w:val="auto"/>
          <w:sz w:val="32"/>
        </w:rPr>
        <w:t>分别为14.7、31.5亿立方米。按照城镇燃气企业不低于年供气量的5%、县级以上地方人民政府不低于保障本行政区域日均3天需求量的储气能力的要求，至2020年全区储气能力需达到1.</w:t>
      </w:r>
      <w:r>
        <w:rPr>
          <w:rFonts w:hint="eastAsia" w:ascii="仿宋" w:hAnsi="仿宋" w:eastAsia="仿宋" w:cs="仿宋"/>
          <w:color w:val="auto"/>
          <w:sz w:val="32"/>
          <w:lang w:val="en-US" w:eastAsia="zh-CN"/>
        </w:rPr>
        <w:t>07</w:t>
      </w:r>
      <w:r>
        <w:rPr>
          <w:rFonts w:hint="eastAsia" w:ascii="仿宋" w:hAnsi="仿宋" w:eastAsia="仿宋" w:cs="仿宋"/>
          <w:color w:val="auto"/>
          <w:sz w:val="32"/>
        </w:rPr>
        <w:t>亿立方米</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其中政府0.33亿立方米，城镇燃气企业0.74亿立方米</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至</w:t>
      </w:r>
      <w:r>
        <w:rPr>
          <w:rFonts w:hint="eastAsia" w:ascii="仿宋" w:hAnsi="仿宋" w:eastAsia="仿宋" w:cs="仿宋"/>
          <w:color w:val="auto"/>
          <w:sz w:val="32"/>
        </w:rPr>
        <w:t>2025年全区储气能力需达到2.4</w:t>
      </w:r>
      <w:r>
        <w:rPr>
          <w:rFonts w:hint="eastAsia" w:ascii="仿宋" w:hAnsi="仿宋" w:eastAsia="仿宋" w:cs="仿宋"/>
          <w:color w:val="auto"/>
          <w:sz w:val="32"/>
          <w:lang w:val="en-US" w:eastAsia="zh-CN"/>
        </w:rPr>
        <w:t>4</w:t>
      </w:r>
      <w:r>
        <w:rPr>
          <w:rFonts w:hint="eastAsia" w:ascii="仿宋" w:hAnsi="仿宋" w:eastAsia="仿宋" w:cs="仿宋"/>
          <w:color w:val="auto"/>
          <w:sz w:val="32"/>
        </w:rPr>
        <w:t>亿立方米</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其中政府0.86亿立方米，城镇燃气企业1.58亿立方米</w:t>
      </w:r>
      <w:r>
        <w:rPr>
          <w:rFonts w:hint="eastAsia" w:ascii="仿宋" w:hAnsi="仿宋" w:eastAsia="仿宋" w:cs="仿宋"/>
          <w:color w:val="auto"/>
          <w:sz w:val="32"/>
        </w:rPr>
        <w:t>。目前，全区已有储气能力</w:t>
      </w:r>
      <w:r>
        <w:rPr>
          <w:rFonts w:hint="eastAsia" w:ascii="仿宋" w:hAnsi="仿宋" w:eastAsia="仿宋" w:cs="仿宋"/>
          <w:color w:val="auto"/>
          <w:sz w:val="32"/>
          <w:lang w:val="en-US" w:eastAsia="zh-CN"/>
        </w:rPr>
        <w:t>970</w:t>
      </w:r>
      <w:r>
        <w:rPr>
          <w:rFonts w:hint="eastAsia" w:ascii="仿宋" w:hAnsi="仿宋" w:eastAsia="仿宋" w:cs="仿宋"/>
          <w:color w:val="auto"/>
          <w:sz w:val="32"/>
        </w:rPr>
        <w:t>万立方米，</w:t>
      </w:r>
      <w:r>
        <w:rPr>
          <w:rFonts w:hint="eastAsia" w:ascii="仿宋" w:hAnsi="仿宋" w:eastAsia="仿宋" w:cs="仿宋"/>
          <w:color w:val="auto"/>
          <w:sz w:val="32"/>
          <w:lang w:eastAsia="zh-CN"/>
        </w:rPr>
        <w:t>远</w:t>
      </w:r>
      <w:r>
        <w:rPr>
          <w:rFonts w:hint="eastAsia" w:ascii="仿宋" w:hAnsi="仿宋" w:eastAsia="仿宋" w:cs="仿宋"/>
          <w:color w:val="auto"/>
          <w:sz w:val="32"/>
        </w:rPr>
        <w:t>低于国家对储气能力提出的指标要求。按照2020年</w:t>
      </w:r>
      <w:r>
        <w:rPr>
          <w:rFonts w:hint="eastAsia" w:ascii="仿宋" w:hAnsi="仿宋" w:eastAsia="仿宋" w:cs="仿宋"/>
          <w:color w:val="auto"/>
          <w:sz w:val="32"/>
          <w:lang w:eastAsia="zh-CN"/>
        </w:rPr>
        <w:t>全区</w:t>
      </w:r>
      <w:r>
        <w:rPr>
          <w:rFonts w:hint="eastAsia" w:ascii="仿宋" w:hAnsi="仿宋" w:eastAsia="仿宋" w:cs="仿宋"/>
          <w:color w:val="auto"/>
          <w:sz w:val="32"/>
        </w:rPr>
        <w:t>形成不低于1.</w:t>
      </w:r>
      <w:r>
        <w:rPr>
          <w:rFonts w:hint="eastAsia" w:ascii="仿宋" w:hAnsi="仿宋" w:eastAsia="仿宋" w:cs="仿宋"/>
          <w:color w:val="auto"/>
          <w:sz w:val="32"/>
          <w:lang w:val="en-US" w:eastAsia="zh-CN"/>
        </w:rPr>
        <w:t>07</w:t>
      </w:r>
      <w:r>
        <w:rPr>
          <w:rFonts w:hint="eastAsia" w:ascii="仿宋" w:hAnsi="仿宋" w:eastAsia="仿宋" w:cs="仿宋"/>
          <w:color w:val="auto"/>
          <w:sz w:val="32"/>
        </w:rPr>
        <w:t>亿立方米储气量的目标，建设任务和实际建设进度之间存在较大差距，时间紧迫。</w:t>
      </w:r>
    </w:p>
    <w:p>
      <w:pPr>
        <w:ind w:firstLine="643" w:firstLineChars="200"/>
        <w:rPr>
          <w:rFonts w:ascii="仿宋" w:hAnsi="仿宋" w:eastAsia="仿宋" w:cs="仿宋"/>
          <w:color w:val="auto"/>
          <w:sz w:val="32"/>
        </w:rPr>
      </w:pPr>
      <w:r>
        <w:rPr>
          <w:rFonts w:hint="eastAsia" w:ascii="Times New Roman" w:hAnsi="Times New Roman" w:eastAsia="仿宋"/>
          <w:b/>
          <w:color w:val="auto"/>
          <w:sz w:val="32"/>
        </w:rPr>
        <w:t>输气管网“互联互通”有待加强。</w:t>
      </w:r>
      <w:r>
        <w:rPr>
          <w:rFonts w:hint="eastAsia" w:ascii="仿宋" w:hAnsi="仿宋" w:eastAsia="仿宋" w:cs="仿宋"/>
          <w:color w:val="auto"/>
          <w:sz w:val="32"/>
        </w:rPr>
        <w:t>由于现阶段广西天然气终端市场需求不大、地形复杂等原因，“县县通”</w:t>
      </w:r>
      <w:r>
        <w:rPr>
          <w:rFonts w:hint="eastAsia" w:ascii="仿宋" w:hAnsi="仿宋" w:eastAsia="仿宋" w:cs="仿宋"/>
          <w:color w:val="auto"/>
          <w:sz w:val="32"/>
          <w:lang w:eastAsia="zh-CN"/>
        </w:rPr>
        <w:t>天然气</w:t>
      </w:r>
      <w:r>
        <w:rPr>
          <w:rFonts w:hint="eastAsia" w:ascii="仿宋" w:hAnsi="仿宋" w:eastAsia="仿宋" w:cs="仿宋"/>
          <w:color w:val="auto"/>
          <w:sz w:val="32"/>
        </w:rPr>
        <w:t>工程进展较为缓慢，对于尚未开通</w:t>
      </w:r>
      <w:r>
        <w:rPr>
          <w:rFonts w:hint="eastAsia" w:ascii="仿宋" w:hAnsi="仿宋" w:eastAsia="仿宋" w:cs="仿宋"/>
          <w:color w:val="auto"/>
          <w:sz w:val="32"/>
          <w:lang w:eastAsia="zh-CN"/>
        </w:rPr>
        <w:t>长输</w:t>
      </w:r>
      <w:r>
        <w:rPr>
          <w:rFonts w:hint="eastAsia" w:ascii="仿宋" w:hAnsi="仿宋" w:eastAsia="仿宋" w:cs="仿宋"/>
          <w:color w:val="auto"/>
          <w:sz w:val="32"/>
        </w:rPr>
        <w:t>管道天然气的市、县，暂时利用车载LNG气化的方式供气，输气管网建设</w:t>
      </w:r>
      <w:r>
        <w:rPr>
          <w:rFonts w:hint="eastAsia" w:ascii="仿宋" w:hAnsi="仿宋" w:eastAsia="仿宋" w:cs="仿宋"/>
          <w:color w:val="auto"/>
          <w:sz w:val="32"/>
          <w:lang w:eastAsia="zh-CN"/>
        </w:rPr>
        <w:t>特别是“互联互通”</w:t>
      </w:r>
      <w:r>
        <w:rPr>
          <w:rFonts w:hint="eastAsia" w:ascii="仿宋" w:hAnsi="仿宋" w:eastAsia="仿宋" w:cs="仿宋"/>
          <w:color w:val="auto"/>
          <w:sz w:val="32"/>
        </w:rPr>
        <w:t>仍有待加强。</w:t>
      </w:r>
    </w:p>
    <w:p>
      <w:pPr>
        <w:ind w:firstLine="643" w:firstLineChars="200"/>
        <w:rPr>
          <w:rFonts w:ascii="Times New Roman" w:hAnsi="Times New Roman" w:eastAsia="仿宋"/>
          <w:color w:val="auto"/>
          <w:sz w:val="32"/>
        </w:rPr>
      </w:pPr>
      <w:r>
        <w:rPr>
          <w:rFonts w:hint="eastAsia" w:ascii="Times New Roman" w:hAnsi="Times New Roman" w:eastAsia="仿宋"/>
          <w:b/>
          <w:color w:val="auto"/>
          <w:sz w:val="32"/>
        </w:rPr>
        <w:t>储气调峰体系尚</w:t>
      </w:r>
      <w:r>
        <w:rPr>
          <w:rFonts w:hint="eastAsia" w:ascii="Times New Roman" w:hAnsi="Times New Roman" w:eastAsia="仿宋"/>
          <w:b/>
          <w:color w:val="auto"/>
          <w:sz w:val="32"/>
          <w:lang w:eastAsia="zh-CN"/>
        </w:rPr>
        <w:t>未</w:t>
      </w:r>
      <w:r>
        <w:rPr>
          <w:rFonts w:hint="eastAsia" w:ascii="Times New Roman" w:hAnsi="Times New Roman" w:eastAsia="仿宋"/>
          <w:b/>
          <w:color w:val="auto"/>
          <w:sz w:val="32"/>
        </w:rPr>
        <w:t>建全。</w:t>
      </w:r>
      <w:r>
        <w:rPr>
          <w:rFonts w:hint="eastAsia" w:ascii="Times New Roman" w:hAnsi="Times New Roman" w:eastAsia="仿宋"/>
          <w:color w:val="auto"/>
          <w:sz w:val="32"/>
        </w:rPr>
        <w:t>由于我区天然气建设起步较晚，在全区天然气基础设施发展仍有待完善的情况下，储气设施的配套建设力度尤为不足，调峰体制机制也尚</w:t>
      </w:r>
      <w:r>
        <w:rPr>
          <w:rFonts w:hint="eastAsia" w:ascii="Times New Roman" w:hAnsi="Times New Roman" w:eastAsia="仿宋"/>
          <w:color w:val="auto"/>
          <w:sz w:val="32"/>
          <w:lang w:eastAsia="zh-CN"/>
        </w:rPr>
        <w:t>未</w:t>
      </w:r>
      <w:r>
        <w:rPr>
          <w:rFonts w:hint="eastAsia" w:ascii="Times New Roman" w:hAnsi="Times New Roman" w:eastAsia="仿宋"/>
          <w:color w:val="auto"/>
          <w:sz w:val="32"/>
        </w:rPr>
        <w:t>建</w:t>
      </w:r>
      <w:r>
        <w:rPr>
          <w:rFonts w:hint="eastAsia" w:ascii="Times New Roman" w:hAnsi="Times New Roman" w:eastAsia="仿宋"/>
          <w:color w:val="auto"/>
          <w:sz w:val="32"/>
          <w:lang w:eastAsia="zh-CN"/>
        </w:rPr>
        <w:t>全</w:t>
      </w:r>
      <w:r>
        <w:rPr>
          <w:rFonts w:hint="eastAsia" w:ascii="Times New Roman" w:hAnsi="Times New Roman" w:eastAsia="仿宋"/>
          <w:color w:val="auto"/>
          <w:sz w:val="32"/>
        </w:rPr>
        <w:t>。受气候影响，广西天然气季节性峰谷差不明显，储气设施作为</w:t>
      </w:r>
      <w:r>
        <w:rPr>
          <w:rFonts w:hint="eastAsia" w:ascii="Times New Roman" w:hAnsi="Times New Roman" w:eastAsia="仿宋"/>
          <w:color w:val="auto"/>
          <w:sz w:val="32"/>
          <w:lang w:eastAsia="zh-CN"/>
        </w:rPr>
        <w:t>保供</w:t>
      </w:r>
      <w:r>
        <w:rPr>
          <w:rFonts w:hint="eastAsia" w:ascii="Times New Roman" w:hAnsi="Times New Roman" w:eastAsia="仿宋"/>
          <w:color w:val="auto"/>
          <w:sz w:val="32"/>
        </w:rPr>
        <w:t>安全和应急调峰的保障性设施难以实现商业化运营，调峰效益不足，导致储气设施建设推动困难。现阶段</w:t>
      </w:r>
      <w:r>
        <w:rPr>
          <w:rFonts w:hint="eastAsia" w:ascii="Times New Roman" w:hAnsi="Times New Roman" w:eastAsia="仿宋"/>
          <w:color w:val="auto"/>
          <w:sz w:val="32"/>
          <w:lang w:eastAsia="zh-CN"/>
        </w:rPr>
        <w:t>全区</w:t>
      </w:r>
      <w:r>
        <w:rPr>
          <w:rFonts w:hint="eastAsia" w:ascii="Times New Roman" w:hAnsi="Times New Roman" w:eastAsia="仿宋"/>
          <w:color w:val="auto"/>
          <w:sz w:val="32"/>
        </w:rPr>
        <w:t>尚未健全储气调峰辅助服务的价格体系和商业模式，缺少相关激励政策，储气成本不能通过市场顺价消化，在一定程度上制约了储气设施发展。</w:t>
      </w:r>
    </w:p>
    <w:p>
      <w:pPr>
        <w:pStyle w:val="2"/>
        <w:numPr>
          <w:ilvl w:val="0"/>
          <w:numId w:val="1"/>
        </w:numPr>
        <w:spacing w:before="0" w:after="0" w:line="240" w:lineRule="auto"/>
        <w:ind w:firstLine="643" w:firstLineChars="200"/>
        <w:rPr>
          <w:rFonts w:ascii="Times New Roman" w:hAnsi="Times New Roman" w:eastAsia="黑体" w:cs="黑体"/>
          <w:color w:val="auto"/>
          <w:sz w:val="32"/>
          <w:szCs w:val="32"/>
        </w:rPr>
      </w:pPr>
      <w:bookmarkStart w:id="27" w:name="_Toc32719"/>
      <w:bookmarkStart w:id="28" w:name="_Toc10894"/>
      <w:bookmarkStart w:id="29" w:name="_Toc32576"/>
      <w:r>
        <w:rPr>
          <w:rFonts w:hint="eastAsia" w:ascii="Times New Roman" w:hAnsi="Times New Roman" w:eastAsia="黑体" w:cs="黑体"/>
          <w:color w:val="auto"/>
          <w:sz w:val="32"/>
          <w:szCs w:val="32"/>
        </w:rPr>
        <w:t>总体要求</w:t>
      </w:r>
      <w:bookmarkEnd w:id="27"/>
      <w:bookmarkEnd w:id="28"/>
      <w:bookmarkEnd w:id="29"/>
    </w:p>
    <w:p>
      <w:pPr>
        <w:pStyle w:val="3"/>
        <w:numPr>
          <w:ilvl w:val="0"/>
          <w:numId w:val="3"/>
        </w:numPr>
        <w:spacing w:before="0" w:after="0" w:line="240" w:lineRule="auto"/>
        <w:rPr>
          <w:rFonts w:ascii="Times New Roman" w:hAnsi="Times New Roman" w:eastAsia="楷体" w:cs="楷体"/>
          <w:color w:val="auto"/>
        </w:rPr>
      </w:pPr>
      <w:bookmarkStart w:id="30" w:name="_Toc22317"/>
      <w:bookmarkStart w:id="31" w:name="_Toc3742"/>
      <w:bookmarkStart w:id="32" w:name="_Toc7978"/>
      <w:r>
        <w:rPr>
          <w:rFonts w:hint="eastAsia" w:ascii="Times New Roman" w:hAnsi="Times New Roman" w:eastAsia="楷体" w:cs="楷体"/>
          <w:color w:val="auto"/>
        </w:rPr>
        <w:t>指导思想</w:t>
      </w:r>
      <w:bookmarkEnd w:id="30"/>
      <w:bookmarkEnd w:id="31"/>
      <w:bookmarkEnd w:id="32"/>
    </w:p>
    <w:p>
      <w:pPr>
        <w:ind w:firstLine="640" w:firstLineChars="200"/>
        <w:rPr>
          <w:rFonts w:ascii="Times New Roman" w:hAnsi="Times New Roman" w:eastAsia="仿宋" w:cs="仿宋"/>
          <w:color w:val="auto"/>
          <w:sz w:val="32"/>
          <w:szCs w:val="32"/>
        </w:rPr>
      </w:pPr>
      <w:r>
        <w:rPr>
          <w:rFonts w:hint="eastAsia" w:ascii="Times New Roman" w:hAnsi="Times New Roman" w:eastAsia="仿宋" w:cs="仿宋"/>
          <w:color w:val="auto"/>
          <w:sz w:val="32"/>
          <w:szCs w:val="32"/>
        </w:rPr>
        <w:t>以习近平新时代中国特色社会主义思想为指导，全面贯彻党的十九大和十九届二中、三中全会精神，以补足储气能力短板，全面提升广西储气调峰水平，</w:t>
      </w:r>
      <w:r>
        <w:rPr>
          <w:rFonts w:hint="eastAsia" w:ascii="Times New Roman" w:hAnsi="Times New Roman" w:eastAsia="仿宋" w:cs="仿宋"/>
          <w:color w:val="auto"/>
          <w:sz w:val="32"/>
          <w:szCs w:val="32"/>
          <w:lang w:val="zh-CN"/>
        </w:rPr>
        <w:t>高质量完成国家储气设施建设指标</w:t>
      </w:r>
      <w:r>
        <w:rPr>
          <w:rFonts w:hint="eastAsia" w:ascii="Times New Roman" w:hAnsi="Times New Roman" w:eastAsia="仿宋" w:cs="仿宋"/>
          <w:color w:val="auto"/>
          <w:sz w:val="32"/>
          <w:szCs w:val="32"/>
        </w:rPr>
        <w:t>为目标，坚持统筹规划与集约开发相结合，形成地方政府、供气企业、城镇燃气企业和终端用户互保共济、灵活调配的分层次应急保供储气调峰体系。加快落实储气设施项目建设，注重储气设施与气源、管网配套发展，全面</w:t>
      </w:r>
      <w:r>
        <w:rPr>
          <w:rFonts w:hint="eastAsia" w:ascii="Times New Roman" w:hAnsi="Times New Roman" w:eastAsia="仿宋" w:cs="仿宋"/>
          <w:color w:val="auto"/>
          <w:spacing w:val="8"/>
          <w:sz w:val="32"/>
          <w:szCs w:val="32"/>
          <w:shd w:val="clear" w:color="auto" w:fill="FFFFFF"/>
        </w:rPr>
        <w:t>提升油气战略安全保障供应能力</w:t>
      </w:r>
      <w:r>
        <w:rPr>
          <w:rFonts w:hint="eastAsia" w:ascii="Times New Roman" w:hAnsi="Times New Roman" w:eastAsia="仿宋" w:cs="仿宋"/>
          <w:color w:val="auto"/>
          <w:sz w:val="32"/>
          <w:szCs w:val="32"/>
        </w:rPr>
        <w:t>。</w:t>
      </w:r>
    </w:p>
    <w:p>
      <w:pPr>
        <w:pStyle w:val="3"/>
        <w:numPr>
          <w:ilvl w:val="0"/>
          <w:numId w:val="3"/>
        </w:numPr>
        <w:spacing w:before="0" w:after="0" w:line="240" w:lineRule="auto"/>
        <w:ind w:firstLine="643" w:firstLineChars="200"/>
        <w:rPr>
          <w:rFonts w:ascii="Times New Roman" w:hAnsi="Times New Roman" w:eastAsia="楷体" w:cs="楷体"/>
          <w:color w:val="auto"/>
        </w:rPr>
      </w:pPr>
      <w:bookmarkStart w:id="33" w:name="_Toc9717"/>
      <w:bookmarkStart w:id="34" w:name="_Toc1740"/>
      <w:bookmarkStart w:id="35" w:name="_Toc29903"/>
      <w:r>
        <w:rPr>
          <w:rFonts w:hint="eastAsia" w:ascii="Times New Roman" w:hAnsi="Times New Roman" w:eastAsia="楷体" w:cs="楷体"/>
          <w:color w:val="auto"/>
        </w:rPr>
        <w:t>基本原则</w:t>
      </w:r>
      <w:bookmarkEnd w:id="33"/>
      <w:bookmarkEnd w:id="34"/>
      <w:bookmarkEnd w:id="35"/>
    </w:p>
    <w:p>
      <w:pPr>
        <w:ind w:firstLine="643" w:firstLineChars="200"/>
        <w:rPr>
          <w:rFonts w:ascii="仿宋" w:hAnsi="仿宋" w:eastAsia="仿宋" w:cs="仿宋"/>
          <w:color w:val="auto"/>
          <w:sz w:val="32"/>
          <w:szCs w:val="32"/>
        </w:rPr>
      </w:pPr>
      <w:r>
        <w:rPr>
          <w:rFonts w:hint="eastAsia" w:ascii="仿宋" w:hAnsi="仿宋" w:eastAsia="仿宋" w:cs="仿宋"/>
          <w:b/>
          <w:color w:val="auto"/>
          <w:sz w:val="32"/>
          <w:szCs w:val="32"/>
        </w:rPr>
        <w:t>统筹规划，合理布局。</w:t>
      </w:r>
      <w:r>
        <w:rPr>
          <w:rFonts w:hint="eastAsia" w:ascii="仿宋" w:hAnsi="仿宋" w:eastAsia="仿宋" w:cs="仿宋"/>
          <w:color w:val="auto"/>
          <w:sz w:val="32"/>
          <w:szCs w:val="32"/>
        </w:rPr>
        <w:t>根据全区气源和管输网络配套建设情况，统筹考虑全区及各市储气设施建设需要</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以国土空间规划为基础和依据，</w:t>
      </w:r>
      <w:r>
        <w:rPr>
          <w:rFonts w:hint="eastAsia" w:ascii="仿宋" w:hAnsi="仿宋" w:eastAsia="仿宋" w:cs="仿宋"/>
          <w:color w:val="auto"/>
          <w:sz w:val="32"/>
          <w:szCs w:val="32"/>
          <w:lang w:eastAsia="zh-CN"/>
        </w:rPr>
        <w:t>严守</w:t>
      </w:r>
      <w:r>
        <w:rPr>
          <w:rFonts w:hint="eastAsia" w:ascii="仿宋" w:hAnsi="仿宋" w:eastAsia="仿宋" w:cs="仿宋"/>
          <w:color w:val="auto"/>
          <w:sz w:val="32"/>
          <w:szCs w:val="32"/>
        </w:rPr>
        <w:t>空间管控边界三条控制线</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以沿海LNG接收站为依托进行规划，兼顾重点地区集约化建设，合理布局规模化储气设施建设。避免分散建设、“遍地开花”。</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远近结合，因地制宜。</w:t>
      </w:r>
      <w:r>
        <w:rPr>
          <w:rFonts w:hint="eastAsia" w:ascii="仿宋" w:hAnsi="仿宋" w:eastAsia="仿宋" w:cs="仿宋"/>
          <w:color w:val="auto"/>
          <w:sz w:val="32"/>
          <w:szCs w:val="32"/>
        </w:rPr>
        <w:t>储气设施建设根据本区域储气设施建设</w:t>
      </w:r>
      <w:r>
        <w:rPr>
          <w:rFonts w:hint="eastAsia" w:ascii="仿宋" w:hAnsi="仿宋" w:eastAsia="仿宋" w:cs="仿宋"/>
          <w:color w:val="auto"/>
          <w:sz w:val="32"/>
          <w:szCs w:val="32"/>
          <w:lang w:val="zh-CN"/>
        </w:rPr>
        <w:t>条件</w:t>
      </w:r>
      <w:r>
        <w:rPr>
          <w:rFonts w:hint="eastAsia" w:ascii="仿宋" w:hAnsi="仿宋" w:eastAsia="仿宋" w:cs="仿宋"/>
          <w:color w:val="auto"/>
          <w:sz w:val="32"/>
          <w:szCs w:val="32"/>
        </w:rPr>
        <w:t>、管网建设联通和</w:t>
      </w:r>
      <w:r>
        <w:rPr>
          <w:rFonts w:hint="eastAsia" w:ascii="仿宋" w:hAnsi="仿宋" w:eastAsia="仿宋" w:cs="仿宋"/>
          <w:color w:val="auto"/>
          <w:sz w:val="32"/>
          <w:szCs w:val="32"/>
          <w:lang w:val="zh-CN"/>
        </w:rPr>
        <w:t>用气市场</w:t>
      </w:r>
      <w:r>
        <w:rPr>
          <w:rFonts w:hint="eastAsia" w:ascii="仿宋" w:hAnsi="仿宋" w:eastAsia="仿宋" w:cs="仿宋"/>
          <w:color w:val="auto"/>
          <w:sz w:val="32"/>
          <w:szCs w:val="32"/>
        </w:rPr>
        <w:t>等实际情况，近期以满足储气能力需求急迫性为主，远期以构建完备稳定的储气体系为主。通过买、</w:t>
      </w:r>
      <w:r>
        <w:rPr>
          <w:rFonts w:hint="eastAsia" w:ascii="仿宋" w:hAnsi="仿宋" w:eastAsia="仿宋" w:cs="仿宋"/>
          <w:color w:val="auto"/>
          <w:sz w:val="32"/>
          <w:szCs w:val="32"/>
          <w:lang w:eastAsia="zh-CN"/>
        </w:rPr>
        <w:t>租、</w:t>
      </w:r>
      <w:r>
        <w:rPr>
          <w:rFonts w:hint="eastAsia" w:ascii="仿宋" w:hAnsi="仿宋" w:eastAsia="仿宋" w:cs="仿宋"/>
          <w:color w:val="auto"/>
          <w:sz w:val="32"/>
          <w:szCs w:val="32"/>
        </w:rPr>
        <w:t>建等多种形式结合，宜买则买，</w:t>
      </w:r>
      <w:r>
        <w:rPr>
          <w:rFonts w:hint="eastAsia" w:ascii="仿宋" w:hAnsi="仿宋" w:eastAsia="仿宋" w:cs="仿宋"/>
          <w:color w:val="auto"/>
          <w:sz w:val="32"/>
          <w:szCs w:val="32"/>
          <w:lang w:eastAsia="zh-CN"/>
        </w:rPr>
        <w:t>宜租则租，</w:t>
      </w:r>
      <w:r>
        <w:rPr>
          <w:rFonts w:hint="eastAsia" w:ascii="仿宋" w:hAnsi="仿宋" w:eastAsia="仿宋" w:cs="仿宋"/>
          <w:color w:val="auto"/>
          <w:sz w:val="32"/>
          <w:szCs w:val="32"/>
        </w:rPr>
        <w:t>宜建则建，分步实施。</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市场主导，社会参与。</w:t>
      </w:r>
      <w:r>
        <w:rPr>
          <w:rFonts w:hint="eastAsia" w:ascii="仿宋" w:hAnsi="仿宋" w:eastAsia="仿宋" w:cs="仿宋"/>
          <w:color w:val="auto"/>
          <w:sz w:val="32"/>
          <w:szCs w:val="32"/>
        </w:rPr>
        <w:t>推进天然气价格市场化，由市场竞争形成储气服务价格和储气设施天然气购销价格，构建储气调峰辅助服务市场机制。支持企业通过自建、合资、参股方式集中建设储气设施，支持企业通过购买、租赁等方式履行储气能力建设和调峰责任。积极鼓励社会资本以各种方式参与储气设施建设。</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加强配套，协调发展。</w:t>
      </w:r>
      <w:r>
        <w:rPr>
          <w:rFonts w:hint="eastAsia" w:ascii="仿宋" w:hAnsi="仿宋" w:eastAsia="仿宋" w:cs="仿宋"/>
          <w:color w:val="auto"/>
          <w:sz w:val="32"/>
          <w:szCs w:val="32"/>
        </w:rPr>
        <w:t>坚持天然气产供储销一体化建设。加快推进重大气源项目和输气管网互联互通建设，推动LNG接收站和输气管网公平开放，保障储气设施建设与气源及输气管网的建设相配套，保障储气设施与管输系统的有效衔接和协调运行。</w:t>
      </w:r>
    </w:p>
    <w:p>
      <w:pPr>
        <w:ind w:firstLine="643" w:firstLineChars="200"/>
        <w:rPr>
          <w:rFonts w:ascii="Times New Roman" w:hAnsi="Times New Roman" w:eastAsia="仿宋" w:cs="仿宋"/>
          <w:color w:val="auto"/>
          <w:sz w:val="32"/>
          <w:szCs w:val="32"/>
        </w:rPr>
      </w:pPr>
      <w:r>
        <w:rPr>
          <w:rFonts w:hint="eastAsia" w:ascii="仿宋" w:hAnsi="仿宋" w:eastAsia="仿宋" w:cs="仿宋"/>
          <w:b/>
          <w:bCs/>
          <w:color w:val="auto"/>
          <w:sz w:val="32"/>
          <w:szCs w:val="32"/>
        </w:rPr>
        <w:t>加强监督，严格监管。</w:t>
      </w:r>
      <w:r>
        <w:rPr>
          <w:rFonts w:hint="eastAsia" w:ascii="仿宋" w:hAnsi="仿宋" w:eastAsia="仿宋" w:cs="仿宋"/>
          <w:color w:val="auto"/>
          <w:sz w:val="32"/>
          <w:szCs w:val="32"/>
        </w:rPr>
        <w:t>全面加强对储气设施开工建设、按计划建成投运的监管，按时达到储气能力要求。加强对违法违规、履责不力行为的监督，将各地和有关企业建设储气设施、保障民生用气、履行合同等行为分别纳入政府及油气行业信用体系建设和监管范畴。</w:t>
      </w:r>
    </w:p>
    <w:p>
      <w:pPr>
        <w:pStyle w:val="3"/>
        <w:numPr>
          <w:ilvl w:val="0"/>
          <w:numId w:val="3"/>
        </w:numPr>
        <w:spacing w:before="0" w:after="0" w:line="240" w:lineRule="auto"/>
        <w:ind w:firstLine="643" w:firstLineChars="200"/>
        <w:rPr>
          <w:rFonts w:ascii="Times New Roman" w:hAnsi="Times New Roman" w:eastAsia="楷体" w:cs="楷体"/>
          <w:color w:val="auto"/>
        </w:rPr>
      </w:pPr>
      <w:bookmarkStart w:id="36" w:name="_Toc21645"/>
      <w:bookmarkStart w:id="37" w:name="_Toc14954"/>
      <w:bookmarkStart w:id="38" w:name="_Toc3185"/>
      <w:r>
        <w:rPr>
          <w:rFonts w:hint="eastAsia" w:ascii="Times New Roman" w:hAnsi="Times New Roman" w:eastAsia="楷体" w:cs="楷体"/>
          <w:color w:val="auto"/>
        </w:rPr>
        <w:t>发展目标</w:t>
      </w:r>
      <w:bookmarkEnd w:id="36"/>
      <w:bookmarkEnd w:id="37"/>
      <w:bookmarkEnd w:id="38"/>
    </w:p>
    <w:p>
      <w:pPr>
        <w:ind w:firstLine="640" w:firstLineChars="200"/>
        <w:rPr>
          <w:rFonts w:ascii="仿宋" w:hAnsi="仿宋" w:eastAsia="仿宋" w:cs="仿宋"/>
          <w:color w:val="auto"/>
          <w:sz w:val="32"/>
          <w:szCs w:val="32"/>
          <w:lang w:val="zh-CN"/>
        </w:rPr>
      </w:pPr>
      <w:r>
        <w:rPr>
          <w:rFonts w:hint="eastAsia" w:ascii="仿宋" w:hAnsi="仿宋" w:eastAsia="仿宋" w:cs="仿宋"/>
          <w:color w:val="auto"/>
          <w:sz w:val="32"/>
          <w:szCs w:val="32"/>
          <w:lang w:val="zh-CN"/>
        </w:rPr>
        <w:t>至2020年，预计全区天然气消费量达到</w:t>
      </w:r>
      <w:r>
        <w:rPr>
          <w:rFonts w:hint="eastAsia" w:ascii="仿宋" w:hAnsi="仿宋" w:eastAsia="仿宋" w:cs="仿宋"/>
          <w:color w:val="auto"/>
          <w:sz w:val="32"/>
          <w:szCs w:val="32"/>
          <w:lang w:val="en-US" w:eastAsia="zh-CN"/>
        </w:rPr>
        <w:t>40亿立方米，</w:t>
      </w:r>
      <w:r>
        <w:rPr>
          <w:rFonts w:hint="eastAsia" w:ascii="仿宋" w:hAnsi="仿宋" w:eastAsia="仿宋" w:cs="仿宋"/>
          <w:color w:val="auto"/>
          <w:sz w:val="32"/>
          <w:szCs w:val="32"/>
          <w:lang w:val="zh-CN"/>
        </w:rPr>
        <w:t>全区需形成不低于保障本行政区域日均3天用气量的政府储气能力（</w:t>
      </w:r>
      <w:r>
        <w:rPr>
          <w:rFonts w:hint="eastAsia" w:ascii="仿宋" w:hAnsi="仿宋" w:eastAsia="仿宋" w:cs="仿宋"/>
          <w:color w:val="auto"/>
          <w:sz w:val="32"/>
          <w:szCs w:val="32"/>
          <w:lang w:val="en-US" w:eastAsia="zh-CN"/>
        </w:rPr>
        <w:t>0.33亿</w:t>
      </w:r>
      <w:r>
        <w:rPr>
          <w:rFonts w:hint="eastAsia" w:ascii="仿宋" w:hAnsi="仿宋" w:eastAsia="仿宋" w:cs="仿宋"/>
          <w:color w:val="auto"/>
          <w:sz w:val="32"/>
          <w:szCs w:val="32"/>
        </w:rPr>
        <w:t>立方米</w:t>
      </w:r>
      <w:r>
        <w:rPr>
          <w:rFonts w:hint="eastAsia" w:ascii="仿宋" w:hAnsi="仿宋" w:eastAsia="仿宋" w:cs="仿宋"/>
          <w:color w:val="auto"/>
          <w:sz w:val="32"/>
          <w:szCs w:val="32"/>
          <w:lang w:val="zh-CN"/>
        </w:rPr>
        <w:t>），城镇燃气企业争取形成不低于其年用气量5%的储气能力（</w:t>
      </w:r>
      <w:r>
        <w:rPr>
          <w:rFonts w:hint="eastAsia" w:ascii="仿宋" w:hAnsi="仿宋" w:eastAsia="仿宋" w:cs="仿宋"/>
          <w:color w:val="auto"/>
          <w:sz w:val="32"/>
          <w:szCs w:val="32"/>
          <w:lang w:val="en-US" w:eastAsia="zh-CN"/>
        </w:rPr>
        <w:t>0.74亿</w:t>
      </w:r>
      <w:r>
        <w:rPr>
          <w:rFonts w:hint="eastAsia" w:ascii="仿宋" w:hAnsi="仿宋" w:eastAsia="仿宋" w:cs="仿宋"/>
          <w:color w:val="auto"/>
          <w:sz w:val="32"/>
          <w:szCs w:val="32"/>
        </w:rPr>
        <w:t>立方米</w:t>
      </w:r>
      <w:r>
        <w:rPr>
          <w:rFonts w:hint="eastAsia" w:ascii="仿宋" w:hAnsi="仿宋" w:eastAsia="仿宋" w:cs="仿宋"/>
          <w:color w:val="auto"/>
          <w:sz w:val="32"/>
          <w:szCs w:val="32"/>
          <w:lang w:val="zh-CN"/>
        </w:rPr>
        <w:t>）。</w:t>
      </w:r>
      <w:r>
        <w:rPr>
          <w:rFonts w:hint="eastAsia" w:ascii="仿宋" w:hAnsi="仿宋" w:eastAsia="仿宋" w:cs="仿宋"/>
          <w:color w:val="auto"/>
          <w:sz w:val="32"/>
          <w:szCs w:val="32"/>
        </w:rPr>
        <w:t>至2020年</w:t>
      </w:r>
      <w:r>
        <w:rPr>
          <w:rFonts w:hint="eastAsia" w:ascii="仿宋" w:hAnsi="仿宋" w:eastAsia="仿宋" w:cs="仿宋"/>
          <w:color w:val="auto"/>
          <w:sz w:val="32"/>
          <w:szCs w:val="32"/>
          <w:lang w:eastAsia="zh-CN"/>
        </w:rPr>
        <w:t>需</w:t>
      </w:r>
      <w:r>
        <w:rPr>
          <w:rFonts w:hint="eastAsia" w:ascii="仿宋" w:hAnsi="仿宋" w:eastAsia="仿宋" w:cs="仿宋"/>
          <w:color w:val="auto"/>
          <w:sz w:val="32"/>
          <w:szCs w:val="32"/>
        </w:rPr>
        <w:t>新增储气能力</w:t>
      </w:r>
      <w:r>
        <w:rPr>
          <w:rFonts w:hint="eastAsia" w:ascii="仿宋" w:hAnsi="仿宋" w:eastAsia="仿宋" w:cs="仿宋"/>
          <w:color w:val="auto"/>
          <w:sz w:val="32"/>
          <w:szCs w:val="32"/>
          <w:highlight w:val="none"/>
          <w:lang w:val="en-US" w:eastAsia="zh-CN"/>
        </w:rPr>
        <w:t>0.97亿</w:t>
      </w:r>
      <w:r>
        <w:rPr>
          <w:rFonts w:hint="eastAsia" w:ascii="仿宋" w:hAnsi="仿宋" w:eastAsia="仿宋" w:cs="仿宋"/>
          <w:color w:val="auto"/>
          <w:sz w:val="32"/>
          <w:szCs w:val="32"/>
          <w:highlight w:val="none"/>
        </w:rPr>
        <w:t>立方米</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zh-CN"/>
        </w:rPr>
        <w:t>供气安全保障能力和</w:t>
      </w:r>
      <w:r>
        <w:rPr>
          <w:rFonts w:hint="eastAsia" w:ascii="仿宋" w:hAnsi="仿宋" w:eastAsia="仿宋" w:cs="仿宋"/>
          <w:color w:val="auto"/>
          <w:sz w:val="32"/>
          <w:szCs w:val="32"/>
        </w:rPr>
        <w:t>储气调峰水平</w:t>
      </w:r>
      <w:r>
        <w:rPr>
          <w:rFonts w:hint="eastAsia" w:ascii="仿宋" w:hAnsi="仿宋" w:eastAsia="仿宋" w:cs="仿宋"/>
          <w:color w:val="auto"/>
          <w:sz w:val="32"/>
          <w:szCs w:val="32"/>
          <w:lang w:val="zh-CN"/>
        </w:rPr>
        <w:t>明显增强，初步形成较为完善的配套管网体系。</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至2025年，</w:t>
      </w:r>
      <w:r>
        <w:rPr>
          <w:rFonts w:hint="eastAsia" w:ascii="仿宋" w:hAnsi="仿宋" w:eastAsia="仿宋" w:cs="仿宋"/>
          <w:color w:val="auto"/>
          <w:sz w:val="32"/>
          <w:szCs w:val="32"/>
          <w:lang w:eastAsia="zh-CN"/>
        </w:rPr>
        <w:t>预计全区天然气消费量达到</w:t>
      </w:r>
      <w:r>
        <w:rPr>
          <w:rFonts w:hint="eastAsia" w:ascii="仿宋" w:hAnsi="仿宋" w:eastAsia="仿宋" w:cs="仿宋"/>
          <w:color w:val="auto"/>
          <w:sz w:val="32"/>
          <w:szCs w:val="32"/>
          <w:lang w:val="en-US" w:eastAsia="zh-CN"/>
        </w:rPr>
        <w:t>105亿立方米，</w:t>
      </w:r>
      <w:r>
        <w:rPr>
          <w:rFonts w:hint="eastAsia" w:ascii="仿宋" w:hAnsi="仿宋" w:eastAsia="仿宋" w:cs="仿宋"/>
          <w:color w:val="auto"/>
          <w:sz w:val="32"/>
          <w:szCs w:val="32"/>
        </w:rPr>
        <w:t>地方政府储气能力、城镇燃气企业储气能力</w:t>
      </w:r>
      <w:r>
        <w:rPr>
          <w:rFonts w:hint="eastAsia" w:ascii="仿宋" w:hAnsi="仿宋" w:eastAsia="仿宋" w:cs="仿宋"/>
          <w:color w:val="auto"/>
          <w:sz w:val="32"/>
          <w:szCs w:val="32"/>
          <w:lang w:eastAsia="zh-CN"/>
        </w:rPr>
        <w:t>需</w:t>
      </w:r>
      <w:r>
        <w:rPr>
          <w:rFonts w:hint="eastAsia" w:ascii="仿宋" w:hAnsi="仿宋" w:eastAsia="仿宋" w:cs="仿宋"/>
          <w:color w:val="auto"/>
          <w:sz w:val="32"/>
          <w:szCs w:val="32"/>
        </w:rPr>
        <w:t>达到</w:t>
      </w:r>
      <w:r>
        <w:rPr>
          <w:rFonts w:hint="eastAsia" w:ascii="仿宋" w:hAnsi="仿宋" w:eastAsia="仿宋" w:cs="仿宋"/>
          <w:color w:val="auto"/>
          <w:sz w:val="32"/>
          <w:szCs w:val="32"/>
          <w:lang w:val="en-US" w:eastAsia="zh-CN"/>
        </w:rPr>
        <w:t>0.86</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1.58亿</w:t>
      </w:r>
      <w:r>
        <w:rPr>
          <w:rFonts w:hint="eastAsia" w:ascii="仿宋" w:hAnsi="仿宋" w:eastAsia="仿宋" w:cs="仿宋"/>
          <w:color w:val="auto"/>
          <w:sz w:val="32"/>
          <w:szCs w:val="32"/>
        </w:rPr>
        <w:t>立方米，需</w:t>
      </w:r>
      <w:r>
        <w:rPr>
          <w:rFonts w:hint="eastAsia" w:ascii="仿宋" w:hAnsi="仿宋" w:eastAsia="仿宋" w:cs="仿宋"/>
          <w:color w:val="auto"/>
          <w:sz w:val="32"/>
          <w:szCs w:val="32"/>
          <w:lang w:eastAsia="zh-CN"/>
        </w:rPr>
        <w:t>在完成</w:t>
      </w:r>
      <w:r>
        <w:rPr>
          <w:rFonts w:hint="eastAsia" w:ascii="仿宋" w:hAnsi="仿宋" w:eastAsia="仿宋" w:cs="仿宋"/>
          <w:color w:val="auto"/>
          <w:sz w:val="32"/>
          <w:szCs w:val="32"/>
          <w:lang w:val="en-US" w:eastAsia="zh-CN"/>
        </w:rPr>
        <w:t>2020年储气任务1.07亿立方米的基础上，再</w:t>
      </w:r>
      <w:r>
        <w:rPr>
          <w:rFonts w:hint="eastAsia" w:ascii="仿宋" w:hAnsi="仿宋" w:eastAsia="仿宋" w:cs="仿宋"/>
          <w:color w:val="auto"/>
          <w:sz w:val="32"/>
          <w:szCs w:val="32"/>
        </w:rPr>
        <w:t>新增储气能力</w:t>
      </w:r>
      <w:r>
        <w:rPr>
          <w:rFonts w:hint="eastAsia" w:ascii="仿宋" w:hAnsi="仿宋" w:eastAsia="仿宋" w:cs="仿宋"/>
          <w:color w:val="auto"/>
          <w:sz w:val="32"/>
          <w:szCs w:val="32"/>
          <w:lang w:val="en-US" w:eastAsia="zh-CN"/>
        </w:rPr>
        <w:t>1.37亿</w:t>
      </w:r>
      <w:r>
        <w:rPr>
          <w:rFonts w:hint="eastAsia" w:ascii="仿宋" w:hAnsi="仿宋" w:eastAsia="仿宋" w:cs="仿宋"/>
          <w:color w:val="auto"/>
          <w:sz w:val="32"/>
          <w:szCs w:val="32"/>
        </w:rPr>
        <w:t>立方米。</w:t>
      </w:r>
      <w:r>
        <w:rPr>
          <w:rFonts w:hint="eastAsia" w:ascii="仿宋" w:hAnsi="仿宋" w:eastAsia="仿宋" w:cs="仿宋"/>
          <w:color w:val="auto"/>
          <w:sz w:val="32"/>
          <w:szCs w:val="32"/>
          <w:lang w:val="en-US" w:eastAsia="zh-CN"/>
        </w:rPr>
        <w:t>2021年至2025年，</w:t>
      </w:r>
      <w:r>
        <w:rPr>
          <w:rFonts w:hint="eastAsia" w:ascii="仿宋" w:hAnsi="仿宋" w:eastAsia="仿宋" w:cs="仿宋"/>
          <w:color w:val="auto"/>
          <w:sz w:val="32"/>
          <w:szCs w:val="32"/>
        </w:rPr>
        <w:t>全区储气设施建设进一步加快，覆盖范围不断扩大，形成沿海LNG接收站与重点地区集约化相结合的天然气储备格局，构建形成多层次的天然气储备体系。</w:t>
      </w:r>
      <w:r>
        <w:rPr>
          <w:rFonts w:hint="eastAsia" w:ascii="仿宋" w:hAnsi="仿宋" w:eastAsia="仿宋" w:cs="仿宋"/>
          <w:color w:val="auto"/>
          <w:sz w:val="32"/>
          <w:szCs w:val="32"/>
          <w:lang w:eastAsia="zh-CN"/>
        </w:rPr>
        <w:t>持续</w:t>
      </w:r>
      <w:r>
        <w:rPr>
          <w:rFonts w:hint="eastAsia" w:ascii="仿宋" w:hAnsi="仿宋" w:eastAsia="仿宋" w:cs="仿宋"/>
          <w:color w:val="auto"/>
          <w:sz w:val="32"/>
          <w:szCs w:val="32"/>
        </w:rPr>
        <w:t>推进天然气需求侧管理和调峰能力建设，建立完善储气调峰辅助服务市场机制，建立天然气供需预警机制和供应分级应急保障能力，建立形成我区完备的天然气产供储销一体化发展体系。</w:t>
      </w:r>
    </w:p>
    <w:p>
      <w:pPr>
        <w:spacing w:line="620" w:lineRule="exact"/>
        <w:jc w:val="center"/>
        <w:rPr>
          <w:rFonts w:hint="eastAsia" w:ascii="黑体" w:hAnsi="黑体" w:eastAsia="黑体" w:cs="黑体"/>
          <w:color w:val="auto"/>
          <w:sz w:val="32"/>
          <w:szCs w:val="32"/>
          <w:lang w:val="zh-CN"/>
        </w:rPr>
      </w:pPr>
      <w:r>
        <w:rPr>
          <w:rFonts w:hint="eastAsia" w:ascii="黑体" w:hAnsi="黑体" w:eastAsia="黑体" w:cs="黑体"/>
          <w:color w:val="auto"/>
          <w:sz w:val="32"/>
          <w:szCs w:val="32"/>
          <w:lang w:val="zh-CN"/>
        </w:rPr>
        <w:t>表1规划储气能力发展目标</w:t>
      </w:r>
    </w:p>
    <w:tbl>
      <w:tblPr>
        <w:tblStyle w:val="10"/>
        <w:tblW w:w="8220" w:type="dxa"/>
        <w:jc w:val="center"/>
        <w:tblInd w:w="4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95"/>
        <w:gridCol w:w="2430"/>
        <w:gridCol w:w="1155"/>
        <w:gridCol w:w="885"/>
        <w:gridCol w:w="795"/>
        <w:gridCol w:w="2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Header/>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指标</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单位</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2020</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2025</w:t>
            </w: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jc w:val="center"/>
        </w:trPr>
        <w:tc>
          <w:tcPr>
            <w:tcW w:w="69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地方政府储气能力</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亿</w:t>
            </w:r>
            <w:r>
              <w:rPr>
                <w:rStyle w:val="11"/>
                <w:lang w:val="en-US" w:eastAsia="zh-CN" w:bidi="ar"/>
              </w:rPr>
              <w:t>立方米</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0.33</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0.86</w:t>
            </w: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根据全区天然气消费总量预测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jc w:val="center"/>
        </w:trPr>
        <w:tc>
          <w:tcPr>
            <w:tcW w:w="69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24"/>
                <w:szCs w:val="24"/>
                <w:u w:val="none"/>
              </w:rPr>
            </w:pP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地方政府储气</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年日均天数</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天</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jc w:val="center"/>
        </w:trPr>
        <w:tc>
          <w:tcPr>
            <w:tcW w:w="69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城镇燃气企业储气能力</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亿</w:t>
            </w:r>
            <w:r>
              <w:rPr>
                <w:rStyle w:val="11"/>
                <w:lang w:val="en-US" w:eastAsia="zh-CN" w:bidi="ar"/>
              </w:rPr>
              <w:t>立方米</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0.74</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1.58</w:t>
            </w: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根据全区城镇燃气年消费量按比例预测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jc w:val="center"/>
        </w:trPr>
        <w:tc>
          <w:tcPr>
            <w:tcW w:w="69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24"/>
                <w:szCs w:val="24"/>
                <w:u w:val="none"/>
              </w:rPr>
            </w:pP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城镇燃气企业储气占用气量比例</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储气能力合计</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亿</w:t>
            </w:r>
            <w:r>
              <w:rPr>
                <w:rStyle w:val="12"/>
                <w:lang w:val="en-US" w:eastAsia="zh-CN" w:bidi="ar"/>
              </w:rPr>
              <w:t>立方米</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1.07</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2.44</w:t>
            </w: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55"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已有储气能力</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亿</w:t>
            </w:r>
            <w:r>
              <w:rPr>
                <w:rStyle w:val="11"/>
                <w:lang w:val="en-US" w:eastAsia="zh-CN" w:bidi="ar"/>
              </w:rPr>
              <w:t>立方米</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0.097</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为各市城镇燃气企业储气能力初步统计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需新增储气能力</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亿</w:t>
            </w:r>
            <w:r>
              <w:rPr>
                <w:rStyle w:val="11"/>
                <w:lang w:val="en-US" w:eastAsia="zh-CN" w:bidi="ar"/>
              </w:rPr>
              <w:t>立方米</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0.97</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1.37</w:t>
            </w: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jc w:val="center"/>
        </w:trPr>
        <w:tc>
          <w:tcPr>
            <w:tcW w:w="69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24"/>
                <w:szCs w:val="24"/>
                <w:u w:val="none"/>
              </w:rPr>
            </w:pPr>
          </w:p>
        </w:tc>
        <w:tc>
          <w:tcPr>
            <w:tcW w:w="24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其中：城市燃气企业需新增储气能力</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亿</w:t>
            </w:r>
            <w:r>
              <w:rPr>
                <w:rStyle w:val="11"/>
                <w:lang w:val="en-US" w:eastAsia="zh-CN" w:bidi="ar"/>
              </w:rPr>
              <w:t>立方米</w:t>
            </w:r>
          </w:p>
        </w:tc>
        <w:tc>
          <w:tcPr>
            <w:tcW w:w="8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0.64</w:t>
            </w:r>
          </w:p>
        </w:tc>
        <w:tc>
          <w:tcPr>
            <w:tcW w:w="7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0.84</w:t>
            </w:r>
          </w:p>
        </w:tc>
        <w:tc>
          <w:tcPr>
            <w:tcW w:w="226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i w:val="0"/>
                <w:color w:val="000000"/>
                <w:sz w:val="22"/>
                <w:szCs w:val="22"/>
                <w:u w:val="none"/>
              </w:rPr>
            </w:pPr>
          </w:p>
        </w:tc>
      </w:tr>
    </w:tbl>
    <w:p>
      <w:pPr>
        <w:pStyle w:val="6"/>
        <w:spacing w:beforeLines="0" w:afterLines="0" w:line="240" w:lineRule="auto"/>
        <w:ind w:left="837" w:leftChars="0" w:hanging="837" w:hangingChars="299"/>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表注：</w:t>
      </w:r>
      <w:r>
        <w:rPr>
          <w:rFonts w:hint="eastAsia" w:ascii="楷体" w:hAnsi="楷体" w:eastAsia="楷体" w:cs="楷体"/>
          <w:color w:val="auto"/>
          <w:sz w:val="28"/>
          <w:szCs w:val="28"/>
        </w:rPr>
        <w:t>预测基础数据来源于“气化广西”方案中</w:t>
      </w:r>
      <w:r>
        <w:rPr>
          <w:rFonts w:hint="eastAsia" w:ascii="楷体" w:hAnsi="楷体" w:eastAsia="楷体" w:cs="楷体"/>
          <w:color w:val="auto"/>
          <w:sz w:val="28"/>
          <w:szCs w:val="28"/>
          <w:lang w:eastAsia="zh-CN"/>
        </w:rPr>
        <w:t>全区天然气消费量</w:t>
      </w:r>
      <w:r>
        <w:rPr>
          <w:rFonts w:hint="eastAsia" w:ascii="楷体" w:hAnsi="楷体" w:eastAsia="楷体" w:cs="楷体"/>
          <w:color w:val="auto"/>
          <w:sz w:val="28"/>
          <w:szCs w:val="28"/>
        </w:rPr>
        <w:t>预测及统计数据</w:t>
      </w:r>
      <w:r>
        <w:rPr>
          <w:rFonts w:hint="eastAsia" w:ascii="楷体" w:hAnsi="楷体" w:eastAsia="楷体" w:cs="楷体"/>
          <w:color w:val="auto"/>
          <w:sz w:val="28"/>
          <w:szCs w:val="28"/>
          <w:lang w:eastAsia="zh-CN"/>
        </w:rPr>
        <w:t>。</w:t>
      </w:r>
    </w:p>
    <w:p>
      <w:pPr>
        <w:spacing w:line="620" w:lineRule="exact"/>
        <w:ind w:firstLine="640" w:firstLineChars="200"/>
        <w:rPr>
          <w:rStyle w:val="13"/>
          <w:rFonts w:hint="default" w:cs="仿宋"/>
          <w:color w:val="auto"/>
        </w:rPr>
      </w:pPr>
      <w:r>
        <w:rPr>
          <w:rFonts w:hint="eastAsia" w:ascii="仿宋" w:hAnsi="仿宋" w:eastAsia="仿宋" w:cs="仿宋"/>
          <w:color w:val="auto"/>
          <w:sz w:val="32"/>
          <w:szCs w:val="32"/>
        </w:rPr>
        <w:t>立足落实地方政府需满足日均3天需求量的储气能力目标，2020年和2025年全区地方政府的规划储气目标分别为</w:t>
      </w:r>
      <w:r>
        <w:rPr>
          <w:rFonts w:hint="eastAsia" w:ascii="仿宋" w:hAnsi="仿宋" w:eastAsia="仿宋" w:cs="仿宋"/>
          <w:color w:val="auto"/>
          <w:sz w:val="32"/>
          <w:szCs w:val="32"/>
          <w:lang w:val="en-US" w:eastAsia="zh-CN"/>
        </w:rPr>
        <w:t>0.33亿</w:t>
      </w:r>
      <w:r>
        <w:rPr>
          <w:rFonts w:hint="eastAsia" w:ascii="仿宋" w:hAnsi="仿宋" w:eastAsia="仿宋" w:cs="仿宋"/>
          <w:color w:val="auto"/>
          <w:sz w:val="32"/>
          <w:szCs w:val="32"/>
        </w:rPr>
        <w:t>立方米和</w:t>
      </w:r>
      <w:r>
        <w:rPr>
          <w:rFonts w:hint="eastAsia" w:ascii="仿宋" w:hAnsi="仿宋" w:eastAsia="仿宋" w:cs="仿宋"/>
          <w:color w:val="auto"/>
          <w:sz w:val="32"/>
          <w:szCs w:val="32"/>
          <w:lang w:val="en-US" w:eastAsia="zh-CN"/>
        </w:rPr>
        <w:t>0.86亿</w:t>
      </w:r>
      <w:r>
        <w:rPr>
          <w:rFonts w:hint="eastAsia" w:ascii="仿宋" w:hAnsi="仿宋" w:eastAsia="仿宋" w:cs="仿宋"/>
          <w:color w:val="auto"/>
          <w:sz w:val="32"/>
          <w:szCs w:val="32"/>
        </w:rPr>
        <w:t>立方米</w:t>
      </w:r>
      <w:r>
        <w:rPr>
          <w:rFonts w:hint="eastAsia" w:ascii="仿宋" w:hAnsi="仿宋" w:eastAsia="仿宋" w:cs="仿宋"/>
          <w:color w:val="auto"/>
          <w:sz w:val="32"/>
          <w:szCs w:val="32"/>
          <w:lang w:eastAsia="zh-CN"/>
        </w:rPr>
        <w:t>。</w:t>
      </w:r>
    </w:p>
    <w:p>
      <w:pPr>
        <w:jc w:val="center"/>
        <w:rPr>
          <w:rFonts w:ascii="Times New Roman" w:hAnsi="Times New Roman"/>
          <w:color w:val="auto"/>
        </w:rPr>
      </w:pPr>
      <w:r>
        <w:rPr>
          <w:rFonts w:hint="eastAsia" w:ascii="黑体" w:hAnsi="黑体" w:eastAsia="黑体" w:cs="黑体"/>
          <w:color w:val="auto"/>
          <w:sz w:val="32"/>
          <w:szCs w:val="32"/>
        </w:rPr>
        <w:t>表2 地方政府规划储气能力</w:t>
      </w:r>
      <w:r>
        <w:rPr>
          <w:rFonts w:hint="eastAsia" w:ascii="黑体" w:hAnsi="黑体" w:eastAsia="黑体" w:cs="黑体"/>
          <w:color w:val="auto"/>
          <w:sz w:val="32"/>
          <w:szCs w:val="32"/>
          <w:lang w:eastAsia="zh-CN"/>
        </w:rPr>
        <w:t>目标</w:t>
      </w:r>
    </w:p>
    <w:tbl>
      <w:tblPr>
        <w:tblStyle w:val="10"/>
        <w:tblW w:w="8296" w:type="dxa"/>
        <w:jc w:val="center"/>
        <w:tblInd w:w="0" w:type="dxa"/>
        <w:tblLayout w:type="fixed"/>
        <w:tblCellMar>
          <w:top w:w="0" w:type="dxa"/>
          <w:left w:w="108" w:type="dxa"/>
          <w:bottom w:w="0" w:type="dxa"/>
          <w:right w:w="108" w:type="dxa"/>
        </w:tblCellMar>
      </w:tblPr>
      <w:tblGrid>
        <w:gridCol w:w="1539"/>
        <w:gridCol w:w="1540"/>
        <w:gridCol w:w="2446"/>
        <w:gridCol w:w="2771"/>
      </w:tblGrid>
      <w:tr>
        <w:tblPrEx>
          <w:tblLayout w:type="fixed"/>
          <w:tblCellMar>
            <w:top w:w="0" w:type="dxa"/>
            <w:left w:w="108" w:type="dxa"/>
            <w:bottom w:w="0" w:type="dxa"/>
            <w:right w:w="108" w:type="dxa"/>
          </w:tblCellMar>
        </w:tblPrEx>
        <w:trPr>
          <w:trHeight w:val="365" w:hRule="atLeast"/>
          <w:tblHeader/>
          <w:jc w:val="center"/>
        </w:trPr>
        <w:tc>
          <w:tcPr>
            <w:tcW w:w="1539"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序号</w:t>
            </w:r>
          </w:p>
        </w:tc>
        <w:tc>
          <w:tcPr>
            <w:tcW w:w="1540"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地市名称</w:t>
            </w:r>
          </w:p>
        </w:tc>
        <w:tc>
          <w:tcPr>
            <w:tcW w:w="5217"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规划储气能力（万立方米）</w:t>
            </w:r>
          </w:p>
        </w:tc>
      </w:tr>
      <w:tr>
        <w:tblPrEx>
          <w:tblLayout w:type="fixed"/>
          <w:tblCellMar>
            <w:top w:w="0" w:type="dxa"/>
            <w:left w:w="108" w:type="dxa"/>
            <w:bottom w:w="0" w:type="dxa"/>
            <w:right w:w="108" w:type="dxa"/>
          </w:tblCellMar>
        </w:tblPrEx>
        <w:trPr>
          <w:trHeight w:val="288" w:hRule="atLeast"/>
          <w:tblHeader/>
          <w:jc w:val="center"/>
        </w:trPr>
        <w:tc>
          <w:tcPr>
            <w:tcW w:w="1539"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p>
        </w:tc>
        <w:tc>
          <w:tcPr>
            <w:tcW w:w="1540"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2020年</w:t>
            </w:r>
          </w:p>
        </w:tc>
        <w:tc>
          <w:tcPr>
            <w:tcW w:w="2771"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2025年</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南宁市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352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1204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柳州市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203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430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3</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桂林市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278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524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4</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梧州市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85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197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5</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北海市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364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660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6</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防城港市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298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1212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7</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钦州市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499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729 </w:t>
            </w:r>
          </w:p>
        </w:tc>
      </w:tr>
      <w:tr>
        <w:tblPrEx>
          <w:tblLayout w:type="fixed"/>
          <w:tblCellMar>
            <w:top w:w="0" w:type="dxa"/>
            <w:left w:w="108" w:type="dxa"/>
            <w:bottom w:w="0" w:type="dxa"/>
            <w:right w:w="108" w:type="dxa"/>
          </w:tblCellMar>
        </w:tblPrEx>
        <w:trPr>
          <w:trHeight w:val="90"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8</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贵港市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48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146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9</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玉林市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488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1511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10</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百色市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537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1436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11</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贺州市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31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81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12</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河池市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60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314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13</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来宾市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49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124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14</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崇左市</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10 </w:t>
            </w:r>
          </w:p>
        </w:tc>
        <w:tc>
          <w:tcPr>
            <w:tcW w:w="2771" w:type="dxa"/>
            <w:tcBorders>
              <w:top w:val="nil"/>
              <w:left w:val="nil"/>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31 </w:t>
            </w:r>
          </w:p>
        </w:tc>
      </w:tr>
      <w:tr>
        <w:tblPrEx>
          <w:tblLayout w:type="fixed"/>
          <w:tblCellMar>
            <w:top w:w="0" w:type="dxa"/>
            <w:left w:w="108" w:type="dxa"/>
            <w:bottom w:w="0" w:type="dxa"/>
            <w:right w:w="108" w:type="dxa"/>
          </w:tblCellMar>
        </w:tblPrEx>
        <w:trPr>
          <w:trHeight w:val="315" w:hRule="atLeast"/>
          <w:jc w:val="center"/>
        </w:trPr>
        <w:tc>
          <w:tcPr>
            <w:tcW w:w="153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15</w:t>
            </w:r>
          </w:p>
        </w:tc>
        <w:tc>
          <w:tcPr>
            <w:tcW w:w="1540"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合计</w:t>
            </w:r>
          </w:p>
        </w:tc>
        <w:tc>
          <w:tcPr>
            <w:tcW w:w="2446"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3</w:t>
            </w:r>
            <w:r>
              <w:rPr>
                <w:rFonts w:hint="eastAsia" w:ascii="仿宋" w:hAnsi="仿宋" w:eastAsia="仿宋" w:cs="仿宋"/>
                <w:color w:val="auto"/>
                <w:sz w:val="24"/>
                <w:szCs w:val="24"/>
                <w:lang w:val="zh-CN" w:eastAsia="zh-CN"/>
              </w:rPr>
              <w:t>3</w:t>
            </w:r>
            <w:r>
              <w:rPr>
                <w:rFonts w:hint="eastAsia" w:ascii="仿宋" w:hAnsi="仿宋" w:eastAsia="仿宋" w:cs="仿宋"/>
                <w:color w:val="auto"/>
                <w:sz w:val="24"/>
                <w:szCs w:val="24"/>
                <w:lang w:val="zh-CN"/>
              </w:rPr>
              <w:t>00</w:t>
            </w:r>
          </w:p>
        </w:tc>
        <w:tc>
          <w:tcPr>
            <w:tcW w:w="2771" w:type="dxa"/>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8600</w:t>
            </w:r>
          </w:p>
        </w:tc>
      </w:tr>
    </w:tbl>
    <w:p>
      <w:pPr>
        <w:pStyle w:val="6"/>
        <w:spacing w:beforeLines="0" w:afterLines="0" w:line="240" w:lineRule="auto"/>
        <w:ind w:left="837" w:leftChars="0" w:hanging="837" w:hangingChars="299"/>
        <w:rPr>
          <w:rFonts w:hint="eastAsia" w:ascii="楷体" w:hAnsi="楷体" w:eastAsia="楷体" w:cs="楷体"/>
          <w:color w:val="auto"/>
          <w:sz w:val="28"/>
          <w:szCs w:val="28"/>
        </w:rPr>
      </w:pPr>
      <w:r>
        <w:rPr>
          <w:rFonts w:hint="eastAsia" w:ascii="楷体" w:hAnsi="楷体" w:eastAsia="楷体" w:cs="楷体"/>
          <w:color w:val="auto"/>
          <w:sz w:val="28"/>
          <w:szCs w:val="28"/>
          <w:lang w:eastAsia="zh-CN"/>
        </w:rPr>
        <w:t>表注：</w:t>
      </w:r>
      <w:r>
        <w:rPr>
          <w:rFonts w:hint="eastAsia" w:ascii="楷体" w:hAnsi="楷体" w:eastAsia="楷体" w:cs="楷体"/>
          <w:color w:val="auto"/>
          <w:sz w:val="28"/>
          <w:szCs w:val="28"/>
          <w:lang w:val="en-US" w:eastAsia="zh-CN"/>
        </w:rPr>
        <w:t>1.</w:t>
      </w:r>
      <w:r>
        <w:rPr>
          <w:rFonts w:hint="eastAsia" w:ascii="楷体" w:hAnsi="楷体" w:eastAsia="楷体" w:cs="楷体"/>
          <w:color w:val="auto"/>
          <w:sz w:val="28"/>
          <w:szCs w:val="28"/>
        </w:rPr>
        <w:t>按照</w:t>
      </w:r>
      <w:r>
        <w:rPr>
          <w:rFonts w:hint="eastAsia" w:ascii="楷体" w:hAnsi="楷体" w:eastAsia="楷体" w:cs="楷体"/>
          <w:color w:val="auto"/>
          <w:sz w:val="28"/>
          <w:szCs w:val="28"/>
          <w:lang w:eastAsia="zh-CN"/>
        </w:rPr>
        <w:t>“</w:t>
      </w:r>
      <w:r>
        <w:rPr>
          <w:rFonts w:hint="eastAsia" w:ascii="楷体" w:hAnsi="楷体" w:eastAsia="楷体" w:cs="楷体"/>
          <w:color w:val="auto"/>
          <w:sz w:val="28"/>
          <w:szCs w:val="28"/>
        </w:rPr>
        <w:t>气化广西</w:t>
      </w:r>
      <w:r>
        <w:rPr>
          <w:rFonts w:hint="eastAsia" w:ascii="楷体" w:hAnsi="楷体" w:eastAsia="楷体" w:cs="楷体"/>
          <w:color w:val="auto"/>
          <w:sz w:val="28"/>
          <w:szCs w:val="28"/>
          <w:lang w:eastAsia="zh-CN"/>
        </w:rPr>
        <w:t>”方案中</w:t>
      </w:r>
      <w:r>
        <w:rPr>
          <w:rFonts w:hint="eastAsia" w:ascii="楷体" w:hAnsi="楷体" w:eastAsia="楷体" w:cs="楷体"/>
          <w:color w:val="auto"/>
          <w:sz w:val="28"/>
          <w:szCs w:val="28"/>
        </w:rPr>
        <w:t>2020年、2025年各市天然气消费预测数据，结合各市消费量占全区比重，将2020年和2025年</w:t>
      </w:r>
      <w:r>
        <w:rPr>
          <w:rFonts w:hint="eastAsia" w:ascii="楷体" w:hAnsi="楷体" w:eastAsia="楷体" w:cs="楷体"/>
          <w:color w:val="auto"/>
          <w:sz w:val="28"/>
          <w:szCs w:val="28"/>
          <w:highlight w:val="none"/>
          <w:lang w:val="en-US" w:eastAsia="zh-CN"/>
        </w:rPr>
        <w:t>全区</w:t>
      </w:r>
      <w:r>
        <w:rPr>
          <w:rFonts w:hint="eastAsia" w:ascii="楷体" w:hAnsi="楷体" w:eastAsia="楷体" w:cs="楷体"/>
          <w:color w:val="auto"/>
          <w:sz w:val="28"/>
          <w:szCs w:val="28"/>
          <w:lang w:eastAsia="zh-CN"/>
        </w:rPr>
        <w:t>地方政府</w:t>
      </w:r>
      <w:r>
        <w:rPr>
          <w:rFonts w:hint="eastAsia" w:ascii="楷体" w:hAnsi="楷体" w:eastAsia="楷体" w:cs="楷体"/>
          <w:color w:val="auto"/>
          <w:sz w:val="28"/>
          <w:szCs w:val="28"/>
        </w:rPr>
        <w:t>储气目标分解至各市。</w:t>
      </w:r>
    </w:p>
    <w:p>
      <w:pPr>
        <w:pStyle w:val="6"/>
        <w:numPr>
          <w:ilvl w:val="0"/>
          <w:numId w:val="4"/>
        </w:numPr>
        <w:spacing w:beforeLines="0" w:afterLines="0" w:line="240" w:lineRule="auto"/>
        <w:ind w:left="838" w:leftChars="399" w:firstLine="0" w:firstLineChars="0"/>
        <w:rPr>
          <w:rFonts w:hint="eastAsia" w:ascii="楷体" w:hAnsi="楷体" w:eastAsia="楷体" w:cs="楷体"/>
          <w:color w:val="auto"/>
          <w:kern w:val="2"/>
          <w:sz w:val="28"/>
          <w:szCs w:val="28"/>
          <w:highlight w:val="none"/>
          <w:lang w:val="en-US" w:eastAsia="zh-CN" w:bidi="ar"/>
        </w:rPr>
      </w:pPr>
      <w:r>
        <w:rPr>
          <w:rFonts w:hint="eastAsia" w:ascii="楷体" w:hAnsi="楷体" w:eastAsia="楷体" w:cs="楷体"/>
          <w:color w:val="auto"/>
          <w:sz w:val="28"/>
          <w:szCs w:val="28"/>
          <w:highlight w:val="none"/>
          <w:lang w:val="en-US" w:eastAsia="zh-CN"/>
        </w:rPr>
        <w:t>最终</w:t>
      </w:r>
      <w:r>
        <w:rPr>
          <w:rFonts w:hint="eastAsia" w:ascii="楷体" w:hAnsi="楷体" w:eastAsia="楷体" w:cs="楷体"/>
          <w:color w:val="auto"/>
          <w:kern w:val="2"/>
          <w:sz w:val="28"/>
          <w:szCs w:val="28"/>
          <w:highlight w:val="none"/>
          <w:lang w:val="en-US" w:eastAsia="zh-CN" w:bidi="ar"/>
        </w:rPr>
        <w:t>考核以各市上年天然气实际用气量为基数，动态调整。</w:t>
      </w:r>
    </w:p>
    <w:p>
      <w:pPr>
        <w:pStyle w:val="6"/>
        <w:numPr>
          <w:ilvl w:val="0"/>
          <w:numId w:val="4"/>
        </w:numPr>
        <w:spacing w:beforeLines="0" w:afterLines="0" w:line="240" w:lineRule="auto"/>
        <w:ind w:left="838" w:leftChars="399" w:firstLine="0" w:firstLineChars="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2020年指标暂由自治区层面统筹解决。</w:t>
      </w:r>
    </w:p>
    <w:p>
      <w:pPr>
        <w:spacing w:line="620" w:lineRule="exact"/>
        <w:ind w:firstLine="640" w:firstLineChars="200"/>
        <w:rPr>
          <w:rStyle w:val="13"/>
          <w:rFonts w:hint="default" w:cs="仿宋"/>
          <w:color w:val="auto"/>
        </w:rPr>
      </w:pPr>
      <w:r>
        <w:rPr>
          <w:rFonts w:hint="eastAsia" w:ascii="仿宋" w:hAnsi="仿宋" w:eastAsia="仿宋" w:cs="仿宋"/>
          <w:color w:val="auto"/>
          <w:sz w:val="32"/>
          <w:szCs w:val="32"/>
        </w:rPr>
        <w:t>立足落实城镇燃气企业满足</w:t>
      </w:r>
      <w:r>
        <w:rPr>
          <w:rFonts w:hint="eastAsia" w:ascii="仿宋" w:hAnsi="仿宋" w:eastAsia="仿宋" w:cs="仿宋"/>
          <w:color w:val="auto"/>
          <w:sz w:val="32"/>
          <w:szCs w:val="32"/>
          <w:lang w:val="zh-CN"/>
        </w:rPr>
        <w:t>其年用气量5%</w:t>
      </w:r>
      <w:r>
        <w:rPr>
          <w:rFonts w:hint="eastAsia" w:ascii="仿宋" w:hAnsi="仿宋" w:eastAsia="仿宋" w:cs="仿宋"/>
          <w:color w:val="auto"/>
          <w:sz w:val="32"/>
          <w:szCs w:val="32"/>
        </w:rPr>
        <w:t>的储气能力目标，全区城镇燃气企业2020年和2025年的储气规划目标总量分别为</w:t>
      </w:r>
      <w:r>
        <w:rPr>
          <w:rFonts w:hint="eastAsia" w:ascii="仿宋" w:hAnsi="仿宋" w:eastAsia="仿宋" w:cs="仿宋"/>
          <w:color w:val="auto"/>
          <w:sz w:val="32"/>
          <w:szCs w:val="32"/>
          <w:lang w:val="en-US" w:eastAsia="zh-CN"/>
        </w:rPr>
        <w:t>0.74亿</w:t>
      </w:r>
      <w:r>
        <w:rPr>
          <w:rFonts w:hint="eastAsia" w:ascii="仿宋" w:hAnsi="仿宋" w:eastAsia="仿宋" w:cs="仿宋"/>
          <w:color w:val="auto"/>
          <w:sz w:val="32"/>
          <w:szCs w:val="32"/>
        </w:rPr>
        <w:t>立方米和</w:t>
      </w:r>
      <w:r>
        <w:rPr>
          <w:rFonts w:hint="eastAsia" w:ascii="仿宋" w:hAnsi="仿宋" w:eastAsia="仿宋" w:cs="仿宋"/>
          <w:color w:val="auto"/>
          <w:sz w:val="32"/>
          <w:szCs w:val="32"/>
          <w:lang w:val="en-US" w:eastAsia="zh-CN"/>
        </w:rPr>
        <w:t>1.58</w:t>
      </w:r>
      <w:r>
        <w:rPr>
          <w:rFonts w:hint="eastAsia" w:ascii="仿宋" w:hAnsi="仿宋" w:eastAsia="仿宋" w:cs="仿宋"/>
          <w:color w:val="auto"/>
          <w:sz w:val="32"/>
          <w:szCs w:val="32"/>
          <w:lang w:eastAsia="zh-CN"/>
        </w:rPr>
        <w:t>亿</w:t>
      </w:r>
      <w:r>
        <w:rPr>
          <w:rFonts w:hint="eastAsia" w:ascii="仿宋" w:hAnsi="仿宋" w:eastAsia="仿宋" w:cs="仿宋"/>
          <w:color w:val="auto"/>
          <w:sz w:val="32"/>
          <w:szCs w:val="32"/>
        </w:rPr>
        <w:t>立方米</w:t>
      </w:r>
      <w:r>
        <w:rPr>
          <w:rFonts w:hint="eastAsia" w:ascii="仿宋" w:hAnsi="仿宋" w:eastAsia="仿宋" w:cs="仿宋"/>
          <w:color w:val="auto"/>
          <w:sz w:val="32"/>
          <w:szCs w:val="32"/>
          <w:lang w:eastAsia="zh-CN"/>
        </w:rPr>
        <w:t>。</w:t>
      </w:r>
    </w:p>
    <w:p>
      <w:pPr>
        <w:spacing w:line="620" w:lineRule="exact"/>
        <w:jc w:val="center"/>
        <w:rPr>
          <w:rFonts w:hint="eastAsia" w:ascii="黑体" w:hAnsi="黑体" w:eastAsia="黑体" w:cs="黑体"/>
          <w:color w:val="auto"/>
          <w:sz w:val="32"/>
          <w:szCs w:val="32"/>
        </w:rPr>
      </w:pPr>
      <w:r>
        <w:rPr>
          <w:rFonts w:hint="eastAsia" w:ascii="黑体" w:hAnsi="黑体" w:eastAsia="黑体" w:cs="黑体"/>
          <w:color w:val="auto"/>
          <w:sz w:val="32"/>
          <w:szCs w:val="32"/>
        </w:rPr>
        <w:t>表3各市城镇燃气企业规划储气能力</w:t>
      </w:r>
      <w:r>
        <w:rPr>
          <w:rFonts w:hint="eastAsia" w:ascii="黑体" w:hAnsi="黑体" w:eastAsia="黑体" w:cs="黑体"/>
          <w:color w:val="auto"/>
          <w:sz w:val="32"/>
          <w:szCs w:val="32"/>
          <w:lang w:eastAsia="zh-CN"/>
        </w:rPr>
        <w:t>目标</w:t>
      </w:r>
    </w:p>
    <w:tbl>
      <w:tblPr>
        <w:tblStyle w:val="10"/>
        <w:tblW w:w="815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87"/>
        <w:gridCol w:w="1968"/>
        <w:gridCol w:w="2446"/>
        <w:gridCol w:w="2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blHeader/>
          <w:jc w:val="center"/>
        </w:trPr>
        <w:tc>
          <w:tcPr>
            <w:tcW w:w="13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bookmarkStart w:id="39" w:name="_Toc28493"/>
            <w:bookmarkStart w:id="40" w:name="_Toc11284"/>
            <w:r>
              <w:rPr>
                <w:rFonts w:hint="eastAsia" w:ascii="黑体" w:hAnsi="黑体" w:eastAsia="黑体" w:cs="黑体"/>
                <w:b/>
                <w:color w:val="auto"/>
                <w:sz w:val="24"/>
                <w:szCs w:val="24"/>
                <w:lang w:val="en-US" w:eastAsia="zh-CN"/>
              </w:rPr>
              <w:t>序号</w:t>
            </w:r>
          </w:p>
        </w:tc>
        <w:tc>
          <w:tcPr>
            <w:tcW w:w="196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en-US" w:eastAsia="zh-CN"/>
              </w:rPr>
              <w:t>地市名称</w:t>
            </w:r>
          </w:p>
        </w:tc>
        <w:tc>
          <w:tcPr>
            <w:tcW w:w="4801"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en-US" w:eastAsia="zh-CN"/>
              </w:rPr>
              <w:t>规划储气能力（万立方米）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blHeader/>
          <w:jc w:val="center"/>
        </w:trPr>
        <w:tc>
          <w:tcPr>
            <w:tcW w:w="13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p>
        </w:tc>
        <w:tc>
          <w:tcPr>
            <w:tcW w:w="196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en-US" w:eastAsia="zh-CN"/>
              </w:rPr>
              <w:t>2020年</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en-US" w:eastAsia="zh-CN"/>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南宁市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2482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5299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2</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柳州市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1020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2178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3</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桂林市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802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1712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4</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梧州市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987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北海市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374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799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防城港市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159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340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7</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钦州市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262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560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贵港市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193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412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9</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玉林市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604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1289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10</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百色市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132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11</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贺州市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171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365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12</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河池市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46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13</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来宾市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129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275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14</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崇左市</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39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15</w:t>
            </w:r>
          </w:p>
        </w:tc>
        <w:tc>
          <w:tcPr>
            <w:tcW w:w="19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合计</w:t>
            </w:r>
          </w:p>
        </w:tc>
        <w:tc>
          <w:tcPr>
            <w:tcW w:w="24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7400 </w:t>
            </w:r>
          </w:p>
        </w:tc>
        <w:tc>
          <w:tcPr>
            <w:tcW w:w="23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仿宋" w:hAnsi="仿宋" w:eastAsia="仿宋" w:cs="仿宋"/>
                <w:color w:val="auto"/>
                <w:sz w:val="24"/>
                <w:szCs w:val="24"/>
                <w:lang w:val="zh-CN"/>
              </w:rPr>
            </w:pPr>
            <w:r>
              <w:rPr>
                <w:rFonts w:hint="eastAsia" w:ascii="仿宋" w:hAnsi="仿宋" w:eastAsia="仿宋" w:cs="仿宋"/>
                <w:i w:val="0"/>
                <w:color w:val="auto"/>
                <w:kern w:val="2"/>
                <w:sz w:val="24"/>
                <w:szCs w:val="24"/>
                <w:u w:val="none"/>
                <w:lang w:val="zh-CN" w:eastAsia="zh-CN" w:bidi="ar"/>
              </w:rPr>
              <w:t xml:space="preserve">15800 </w:t>
            </w:r>
          </w:p>
        </w:tc>
      </w:tr>
    </w:tbl>
    <w:p>
      <w:pPr>
        <w:pStyle w:val="6"/>
        <w:spacing w:beforeLines="0" w:afterLines="0" w:line="240" w:lineRule="auto"/>
        <w:ind w:left="837" w:leftChars="0" w:hanging="837" w:hangingChars="299"/>
        <w:rPr>
          <w:rFonts w:hint="eastAsia" w:ascii="楷体" w:hAnsi="楷体" w:eastAsia="楷体" w:cs="楷体"/>
          <w:color w:val="auto"/>
          <w:sz w:val="28"/>
          <w:szCs w:val="28"/>
        </w:rPr>
      </w:pPr>
      <w:r>
        <w:rPr>
          <w:rFonts w:hint="eastAsia" w:ascii="楷体" w:hAnsi="楷体" w:eastAsia="楷体" w:cs="楷体"/>
          <w:color w:val="auto"/>
          <w:sz w:val="28"/>
          <w:szCs w:val="28"/>
          <w:lang w:eastAsia="zh-CN"/>
        </w:rPr>
        <w:t>表注：</w:t>
      </w:r>
      <w:r>
        <w:rPr>
          <w:rFonts w:hint="eastAsia" w:ascii="楷体" w:hAnsi="楷体" w:eastAsia="楷体" w:cs="楷体"/>
          <w:color w:val="auto"/>
          <w:sz w:val="28"/>
          <w:szCs w:val="28"/>
          <w:lang w:val="en-US" w:eastAsia="zh-CN"/>
        </w:rPr>
        <w:t>1.根据</w:t>
      </w:r>
      <w:r>
        <w:rPr>
          <w:rFonts w:hint="eastAsia" w:ascii="楷体" w:hAnsi="楷体" w:eastAsia="楷体" w:cs="楷体"/>
          <w:color w:val="auto"/>
          <w:sz w:val="28"/>
          <w:szCs w:val="28"/>
          <w:lang w:eastAsia="zh-CN"/>
        </w:rPr>
        <w:t>自治区</w:t>
      </w:r>
      <w:r>
        <w:rPr>
          <w:rFonts w:hint="eastAsia" w:ascii="楷体" w:hAnsi="楷体" w:eastAsia="楷体" w:cs="楷体"/>
          <w:color w:val="auto"/>
          <w:sz w:val="28"/>
          <w:szCs w:val="28"/>
        </w:rPr>
        <w:t>住房建设</w:t>
      </w:r>
      <w:r>
        <w:rPr>
          <w:rFonts w:hint="eastAsia" w:ascii="楷体" w:hAnsi="楷体" w:eastAsia="楷体" w:cs="楷体"/>
          <w:color w:val="auto"/>
          <w:sz w:val="28"/>
          <w:szCs w:val="28"/>
          <w:lang w:eastAsia="zh-CN"/>
        </w:rPr>
        <w:t>厅提供的</w:t>
      </w:r>
      <w:r>
        <w:rPr>
          <w:rFonts w:hint="eastAsia" w:ascii="楷体" w:hAnsi="楷体" w:eastAsia="楷体" w:cs="楷体"/>
          <w:color w:val="auto"/>
          <w:sz w:val="28"/>
          <w:szCs w:val="28"/>
        </w:rPr>
        <w:t>2018年各市城</w:t>
      </w:r>
      <w:r>
        <w:rPr>
          <w:rFonts w:hint="eastAsia" w:ascii="楷体" w:hAnsi="楷体" w:eastAsia="楷体" w:cs="楷体"/>
          <w:color w:val="auto"/>
          <w:sz w:val="28"/>
          <w:szCs w:val="28"/>
          <w:lang w:eastAsia="zh-CN"/>
        </w:rPr>
        <w:t>镇</w:t>
      </w:r>
      <w:r>
        <w:rPr>
          <w:rFonts w:hint="eastAsia" w:ascii="楷体" w:hAnsi="楷体" w:eastAsia="楷体" w:cs="楷体"/>
          <w:color w:val="auto"/>
          <w:sz w:val="28"/>
          <w:szCs w:val="28"/>
        </w:rPr>
        <w:t>燃气消费量</w:t>
      </w:r>
      <w:r>
        <w:rPr>
          <w:rFonts w:hint="eastAsia" w:ascii="楷体" w:hAnsi="楷体" w:eastAsia="楷体" w:cs="楷体"/>
          <w:color w:val="auto"/>
          <w:sz w:val="28"/>
          <w:szCs w:val="28"/>
          <w:lang w:eastAsia="zh-CN"/>
        </w:rPr>
        <w:t>统计数据</w:t>
      </w:r>
      <w:r>
        <w:rPr>
          <w:rFonts w:hint="eastAsia" w:ascii="楷体" w:hAnsi="楷体" w:eastAsia="楷体" w:cs="楷体"/>
          <w:color w:val="auto"/>
          <w:sz w:val="28"/>
          <w:szCs w:val="28"/>
        </w:rPr>
        <w:t>，计算</w:t>
      </w:r>
      <w:r>
        <w:rPr>
          <w:rFonts w:hint="eastAsia" w:ascii="楷体" w:hAnsi="楷体" w:eastAsia="楷体" w:cs="楷体"/>
          <w:color w:val="auto"/>
          <w:sz w:val="28"/>
          <w:szCs w:val="28"/>
          <w:lang w:eastAsia="zh-CN"/>
        </w:rPr>
        <w:t>得出</w:t>
      </w:r>
      <w:r>
        <w:rPr>
          <w:rFonts w:hint="eastAsia" w:ascii="楷体" w:hAnsi="楷体" w:eastAsia="楷体" w:cs="楷体"/>
          <w:color w:val="auto"/>
          <w:sz w:val="28"/>
          <w:szCs w:val="28"/>
        </w:rPr>
        <w:t>各市城</w:t>
      </w:r>
      <w:r>
        <w:rPr>
          <w:rFonts w:hint="eastAsia" w:ascii="楷体" w:hAnsi="楷体" w:eastAsia="楷体" w:cs="楷体"/>
          <w:color w:val="auto"/>
          <w:sz w:val="28"/>
          <w:szCs w:val="28"/>
          <w:lang w:eastAsia="zh-CN"/>
        </w:rPr>
        <w:t>镇</w:t>
      </w:r>
      <w:r>
        <w:rPr>
          <w:rFonts w:hint="eastAsia" w:ascii="楷体" w:hAnsi="楷体" w:eastAsia="楷体" w:cs="楷体"/>
          <w:color w:val="auto"/>
          <w:sz w:val="28"/>
          <w:szCs w:val="28"/>
        </w:rPr>
        <w:t>燃气消费</w:t>
      </w:r>
      <w:r>
        <w:rPr>
          <w:rFonts w:hint="eastAsia" w:ascii="楷体" w:hAnsi="楷体" w:eastAsia="楷体" w:cs="楷体"/>
          <w:color w:val="auto"/>
          <w:sz w:val="28"/>
          <w:szCs w:val="28"/>
          <w:lang w:eastAsia="zh-CN"/>
        </w:rPr>
        <w:t>在全区的</w:t>
      </w:r>
      <w:r>
        <w:rPr>
          <w:rFonts w:hint="eastAsia" w:ascii="楷体" w:hAnsi="楷体" w:eastAsia="楷体" w:cs="楷体"/>
          <w:color w:val="auto"/>
          <w:sz w:val="28"/>
          <w:szCs w:val="28"/>
        </w:rPr>
        <w:t>占比，</w:t>
      </w:r>
      <w:r>
        <w:rPr>
          <w:rFonts w:hint="eastAsia" w:ascii="楷体" w:hAnsi="楷体" w:eastAsia="楷体" w:cs="楷体"/>
          <w:color w:val="auto"/>
          <w:sz w:val="28"/>
          <w:szCs w:val="28"/>
          <w:lang w:eastAsia="zh-CN"/>
        </w:rPr>
        <w:t>按此</w:t>
      </w:r>
      <w:r>
        <w:rPr>
          <w:rFonts w:hint="eastAsia" w:ascii="楷体" w:hAnsi="楷体" w:eastAsia="楷体" w:cs="楷体"/>
          <w:color w:val="auto"/>
          <w:sz w:val="28"/>
          <w:szCs w:val="28"/>
        </w:rPr>
        <w:t>将2020年和2025年城镇燃气企业规划储气目标分解至各市。</w:t>
      </w:r>
    </w:p>
    <w:p>
      <w:pPr>
        <w:pStyle w:val="6"/>
        <w:spacing w:beforeLines="0" w:afterLines="0" w:line="240" w:lineRule="auto"/>
        <w:ind w:left="838" w:leftChars="399" w:firstLine="0" w:firstLineChars="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2.最终</w:t>
      </w:r>
      <w:r>
        <w:rPr>
          <w:rFonts w:hint="eastAsia" w:ascii="楷体" w:hAnsi="楷体" w:eastAsia="楷体" w:cs="楷体"/>
          <w:color w:val="auto"/>
          <w:kern w:val="2"/>
          <w:sz w:val="28"/>
          <w:szCs w:val="28"/>
          <w:highlight w:val="none"/>
          <w:lang w:val="en-US" w:eastAsia="zh-CN" w:bidi="ar"/>
        </w:rPr>
        <w:t>考核以各市城镇燃气企业上年天然气实际用气量为基数，动态调整。</w:t>
      </w:r>
    </w:p>
    <w:p>
      <w:pPr>
        <w:pStyle w:val="2"/>
        <w:numPr>
          <w:ilvl w:val="0"/>
          <w:numId w:val="1"/>
        </w:numPr>
        <w:spacing w:before="0" w:after="0" w:line="240" w:lineRule="auto"/>
        <w:ind w:firstLine="643" w:firstLineChars="200"/>
        <w:rPr>
          <w:rFonts w:ascii="Times New Roman" w:hAnsi="Times New Roman" w:eastAsia="黑体" w:cs="黑体"/>
          <w:color w:val="auto"/>
          <w:sz w:val="32"/>
          <w:szCs w:val="32"/>
        </w:rPr>
      </w:pPr>
      <w:bookmarkStart w:id="41" w:name="_Toc20686"/>
      <w:r>
        <w:rPr>
          <w:rFonts w:hint="eastAsia" w:ascii="Times New Roman" w:hAnsi="Times New Roman" w:eastAsia="黑体" w:cs="黑体"/>
          <w:color w:val="auto"/>
          <w:sz w:val="32"/>
          <w:szCs w:val="32"/>
        </w:rPr>
        <w:t>重点任务</w:t>
      </w:r>
      <w:bookmarkEnd w:id="39"/>
      <w:bookmarkEnd w:id="40"/>
      <w:bookmarkEnd w:id="41"/>
    </w:p>
    <w:p>
      <w:pPr>
        <w:pStyle w:val="3"/>
        <w:spacing w:before="0" w:after="0" w:line="240" w:lineRule="auto"/>
        <w:ind w:left="643"/>
        <w:rPr>
          <w:rFonts w:ascii="Times New Roman" w:hAnsi="Times New Roman" w:eastAsia="楷体" w:cs="楷体"/>
          <w:color w:val="auto"/>
        </w:rPr>
      </w:pPr>
      <w:bookmarkStart w:id="42" w:name="_Toc23521"/>
      <w:bookmarkStart w:id="43" w:name="_Toc21068"/>
      <w:bookmarkStart w:id="44" w:name="_Toc18642"/>
      <w:r>
        <w:rPr>
          <w:rFonts w:hint="eastAsia" w:ascii="Times New Roman" w:hAnsi="Times New Roman" w:eastAsia="楷体" w:cs="楷体"/>
          <w:color w:val="auto"/>
        </w:rPr>
        <w:t>（一）加快储气设施建设</w:t>
      </w:r>
      <w:bookmarkEnd w:id="42"/>
      <w:bookmarkEnd w:id="43"/>
      <w:bookmarkEnd w:id="44"/>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为</w:t>
      </w:r>
      <w:r>
        <w:rPr>
          <w:rFonts w:hint="eastAsia" w:ascii="仿宋" w:hAnsi="仿宋" w:eastAsia="仿宋" w:cs="仿宋"/>
          <w:color w:val="auto"/>
          <w:sz w:val="32"/>
          <w:szCs w:val="32"/>
          <w:lang w:eastAsia="zh-CN"/>
        </w:rPr>
        <w:t>保证</w:t>
      </w:r>
      <w:r>
        <w:rPr>
          <w:rFonts w:hint="eastAsia" w:ascii="仿宋" w:hAnsi="仿宋" w:eastAsia="仿宋" w:cs="仿宋"/>
          <w:color w:val="auto"/>
          <w:sz w:val="32"/>
          <w:szCs w:val="32"/>
        </w:rPr>
        <w:t>完成2020年目标，地方政府储气目标由自治区统筹考虑，采用自治区国有企业在北海LNG接收站占有股份折算储气能力完成；城镇燃气企业储气能力目标现阶段达标压力较大，作为临时性过渡措施，支持各城镇燃气企业统筹向可中断</w:t>
      </w:r>
      <w:r>
        <w:rPr>
          <w:rFonts w:hint="eastAsia" w:ascii="仿宋" w:hAnsi="仿宋" w:eastAsia="仿宋" w:cs="仿宋"/>
          <w:color w:val="auto"/>
          <w:sz w:val="32"/>
          <w:szCs w:val="32"/>
          <w:lang w:eastAsia="zh-CN"/>
        </w:rPr>
        <w:t>供气合同</w:t>
      </w:r>
      <w:r>
        <w:rPr>
          <w:rFonts w:hint="eastAsia" w:ascii="仿宋" w:hAnsi="仿宋" w:eastAsia="仿宋" w:cs="仿宋"/>
          <w:color w:val="auto"/>
          <w:sz w:val="32"/>
          <w:szCs w:val="32"/>
        </w:rPr>
        <w:t>用户或上游气源企业购买调峰能力，并以签订协议和合同的形式确定储气能力指标，确保完成任务。为完成2025年目标</w:t>
      </w:r>
      <w:r>
        <w:rPr>
          <w:rFonts w:hint="eastAsia" w:ascii="仿宋" w:hAnsi="仿宋" w:eastAsia="仿宋" w:cs="仿宋"/>
          <w:color w:val="auto"/>
          <w:sz w:val="32"/>
          <w:szCs w:val="32"/>
          <w:lang w:eastAsia="zh-CN"/>
        </w:rPr>
        <w:t>任务</w:t>
      </w:r>
      <w:r>
        <w:rPr>
          <w:rFonts w:hint="eastAsia" w:ascii="仿宋" w:hAnsi="仿宋" w:eastAsia="仿宋" w:cs="仿宋"/>
          <w:color w:val="auto"/>
          <w:sz w:val="32"/>
          <w:szCs w:val="32"/>
        </w:rPr>
        <w:t>，自治区相关企业和城镇燃气企业应以参股、购买等方式灵活参与规划储气项目的建设。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为满足全区地方政府和城镇燃气企业的储气能力集中建设需求，“十四五”期间，依托中石化北海LNG接收站二期、中石油北海LNG项目、中海油防城港LNG项目二期和钦州LNG项目集中规划储气设施，储气设施总规模为16.6亿立方米。</w:t>
      </w:r>
    </w:p>
    <w:p>
      <w:pPr>
        <w:pStyle w:val="8"/>
        <w:spacing w:before="0" w:beforeAutospacing="0" w:after="0" w:afterAutospacing="0"/>
        <w:jc w:val="center"/>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表4  我区规划储气能力汇总</w:t>
      </w:r>
    </w:p>
    <w:tbl>
      <w:tblPr>
        <w:tblStyle w:val="10"/>
        <w:tblW w:w="840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25"/>
        <w:gridCol w:w="1455"/>
        <w:gridCol w:w="1725"/>
        <w:gridCol w:w="1530"/>
        <w:gridCol w:w="2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7" w:hRule="atLeast"/>
          <w:tblHeader/>
          <w:jc w:val="center"/>
        </w:trPr>
        <w:tc>
          <w:tcPr>
            <w:tcW w:w="82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黑体" w:hAnsi="宋体" w:eastAsia="黑体" w:cs="黑体"/>
                <w:b/>
                <w:i w:val="0"/>
                <w:color w:val="auto"/>
                <w:sz w:val="24"/>
                <w:szCs w:val="24"/>
                <w:u w:val="none"/>
              </w:rPr>
            </w:pPr>
            <w:r>
              <w:rPr>
                <w:rFonts w:hint="eastAsia" w:ascii="黑体" w:hAnsi="宋体" w:eastAsia="黑体" w:cs="黑体"/>
                <w:b/>
                <w:i w:val="0"/>
                <w:color w:val="auto"/>
                <w:kern w:val="0"/>
                <w:sz w:val="24"/>
                <w:szCs w:val="24"/>
                <w:u w:val="none"/>
                <w:lang w:val="en-US" w:eastAsia="zh-CN" w:bidi="ar"/>
              </w:rPr>
              <w:t>序号</w:t>
            </w:r>
          </w:p>
        </w:tc>
        <w:tc>
          <w:tcPr>
            <w:tcW w:w="145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黑体" w:hAnsi="宋体" w:eastAsia="黑体" w:cs="黑体"/>
                <w:b/>
                <w:i w:val="0"/>
                <w:color w:val="auto"/>
                <w:sz w:val="24"/>
                <w:szCs w:val="24"/>
                <w:u w:val="none"/>
              </w:rPr>
            </w:pPr>
            <w:r>
              <w:rPr>
                <w:rFonts w:hint="eastAsia" w:ascii="黑体" w:hAnsi="宋体" w:eastAsia="黑体" w:cs="黑体"/>
                <w:b/>
                <w:i w:val="0"/>
                <w:color w:val="auto"/>
                <w:kern w:val="0"/>
                <w:sz w:val="24"/>
                <w:szCs w:val="24"/>
                <w:u w:val="none"/>
                <w:lang w:val="en-US" w:eastAsia="zh-CN" w:bidi="ar"/>
              </w:rPr>
              <w:t>项目名称</w:t>
            </w:r>
          </w:p>
        </w:tc>
        <w:tc>
          <w:tcPr>
            <w:tcW w:w="172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黑体" w:hAnsi="宋体" w:eastAsia="黑体" w:cs="黑体"/>
                <w:b/>
                <w:i w:val="0"/>
                <w:color w:val="auto"/>
                <w:sz w:val="24"/>
                <w:szCs w:val="24"/>
                <w:u w:val="none"/>
              </w:rPr>
            </w:pPr>
            <w:r>
              <w:rPr>
                <w:rFonts w:hint="eastAsia" w:ascii="黑体" w:hAnsi="宋体" w:eastAsia="黑体" w:cs="黑体"/>
                <w:b/>
                <w:i w:val="0"/>
                <w:color w:val="auto"/>
                <w:kern w:val="0"/>
                <w:sz w:val="24"/>
                <w:szCs w:val="24"/>
                <w:u w:val="none"/>
                <w:lang w:val="en-US" w:eastAsia="zh-CN" w:bidi="ar"/>
              </w:rPr>
              <w:t>规划储气能力（亿立方米）</w:t>
            </w:r>
          </w:p>
        </w:tc>
        <w:tc>
          <w:tcPr>
            <w:tcW w:w="153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黑体" w:hAnsi="宋体" w:eastAsia="黑体" w:cs="黑体"/>
                <w:b/>
                <w:i w:val="0"/>
                <w:color w:val="auto"/>
                <w:sz w:val="24"/>
                <w:szCs w:val="24"/>
                <w:u w:val="none"/>
              </w:rPr>
            </w:pPr>
            <w:r>
              <w:rPr>
                <w:rFonts w:hint="eastAsia" w:ascii="黑体" w:hAnsi="宋体" w:eastAsia="黑体" w:cs="黑体"/>
                <w:b/>
                <w:i w:val="0"/>
                <w:color w:val="auto"/>
                <w:kern w:val="0"/>
                <w:sz w:val="24"/>
                <w:szCs w:val="24"/>
                <w:u w:val="none"/>
                <w:lang w:val="en-US" w:eastAsia="zh-CN" w:bidi="ar"/>
              </w:rPr>
              <w:t>进度要求</w:t>
            </w:r>
          </w:p>
        </w:tc>
        <w:tc>
          <w:tcPr>
            <w:tcW w:w="286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黑体" w:hAnsi="宋体" w:eastAsia="黑体" w:cs="黑体"/>
                <w:b/>
                <w:i w:val="0"/>
                <w:color w:val="auto"/>
                <w:sz w:val="24"/>
                <w:szCs w:val="24"/>
                <w:u w:val="none"/>
              </w:rPr>
            </w:pPr>
            <w:r>
              <w:rPr>
                <w:rFonts w:hint="eastAsia" w:ascii="黑体" w:hAnsi="宋体" w:eastAsia="黑体" w:cs="黑体"/>
                <w:b/>
                <w:i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c>
          <w:tcPr>
            <w:tcW w:w="145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c>
          <w:tcPr>
            <w:tcW w:w="153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c>
          <w:tcPr>
            <w:tcW w:w="286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jc w:val="center"/>
        </w:trPr>
        <w:tc>
          <w:tcPr>
            <w:tcW w:w="8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c>
          <w:tcPr>
            <w:tcW w:w="145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c>
          <w:tcPr>
            <w:tcW w:w="153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c>
          <w:tcPr>
            <w:tcW w:w="286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黑体" w:hAnsi="宋体" w:eastAsia="黑体" w:cs="黑体"/>
                <w:b/>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8404" w:type="dxa"/>
            <w:gridSpan w:val="5"/>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top"/>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至2020年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90" w:hRule="atLeast"/>
          <w:jc w:val="center"/>
        </w:trPr>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中石化北海LNG接收站</w:t>
            </w:r>
          </w:p>
        </w:tc>
        <w:tc>
          <w:tcPr>
            <w:tcW w:w="17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 xml:space="preserve">4.0 </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已投产</w:t>
            </w:r>
          </w:p>
        </w:tc>
        <w:tc>
          <w:tcPr>
            <w:tcW w:w="2869"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top"/>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其中北部湾港务集团占股20%，对应的储气能力可满足地方政府指标。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8404" w:type="dxa"/>
            <w:gridSpan w:val="5"/>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top"/>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至2025年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jc w:val="center"/>
        </w:trPr>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中石化北海LNG项目二期</w:t>
            </w:r>
          </w:p>
        </w:tc>
        <w:tc>
          <w:tcPr>
            <w:tcW w:w="17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3.3</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2021-2025</w:t>
            </w:r>
          </w:p>
        </w:tc>
        <w:tc>
          <w:tcPr>
            <w:tcW w:w="28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项目单位为中石化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jc w:val="center"/>
        </w:trPr>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3</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中石油北海LNG项目</w:t>
            </w:r>
          </w:p>
        </w:tc>
        <w:tc>
          <w:tcPr>
            <w:tcW w:w="17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8.3</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2022-2025</w:t>
            </w:r>
          </w:p>
        </w:tc>
        <w:tc>
          <w:tcPr>
            <w:tcW w:w="28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项目单位为中石化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jc w:val="center"/>
        </w:trPr>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4</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中海油防城港LNG项目</w:t>
            </w:r>
          </w:p>
        </w:tc>
        <w:tc>
          <w:tcPr>
            <w:tcW w:w="17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2.5</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2022-2025</w:t>
            </w:r>
          </w:p>
        </w:tc>
        <w:tc>
          <w:tcPr>
            <w:tcW w:w="28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项目单位为中海油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2" w:hRule="atLeast"/>
          <w:jc w:val="center"/>
        </w:trPr>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5</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钦州LNG项目</w:t>
            </w:r>
          </w:p>
        </w:tc>
        <w:tc>
          <w:tcPr>
            <w:tcW w:w="17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2.5</w:t>
            </w:r>
          </w:p>
        </w:tc>
        <w:tc>
          <w:tcPr>
            <w:tcW w:w="15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2022-2025</w:t>
            </w:r>
          </w:p>
        </w:tc>
        <w:tc>
          <w:tcPr>
            <w:tcW w:w="28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项目单位待定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60" w:hRule="atLeast"/>
          <w:jc w:val="center"/>
        </w:trPr>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tLeast"/>
              <w:ind w:left="0" w:leftChars="0" w:right="0" w:rightChars="0" w:firstLine="0" w:firstLineChars="0"/>
              <w:jc w:val="center"/>
              <w:outlineLvl w:val="9"/>
              <w:rPr>
                <w:rFonts w:hint="eastAsia" w:ascii="仿宋" w:hAnsi="仿宋" w:eastAsia="仿宋" w:cs="仿宋"/>
                <w:i w:val="0"/>
                <w:color w:val="auto"/>
                <w:sz w:val="24"/>
                <w:szCs w:val="24"/>
                <w:u w:val="none"/>
              </w:rPr>
            </w:pP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小计</w:t>
            </w:r>
          </w:p>
        </w:tc>
        <w:tc>
          <w:tcPr>
            <w:tcW w:w="17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16.6</w:t>
            </w:r>
          </w:p>
        </w:tc>
        <w:tc>
          <w:tcPr>
            <w:tcW w:w="439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center"/>
              <w:outlineLvl w:val="9"/>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自治区相关企业、城镇燃气企业以参股、租赁、购买等方式灵活选择、部分参与上述四个规划储气项目的建设，完成储气能力任务。</w:t>
            </w:r>
          </w:p>
        </w:tc>
      </w:tr>
    </w:tbl>
    <w:p>
      <w:pPr>
        <w:pStyle w:val="3"/>
        <w:spacing w:before="0" w:after="0" w:line="240" w:lineRule="auto"/>
        <w:ind w:left="643"/>
        <w:rPr>
          <w:rFonts w:hint="eastAsia" w:ascii="楷体" w:hAnsi="楷体" w:eastAsia="楷体" w:cs="楷体"/>
          <w:color w:val="auto"/>
        </w:rPr>
      </w:pPr>
      <w:bookmarkStart w:id="45" w:name="_Toc17696"/>
      <w:bookmarkStart w:id="46" w:name="_Toc24788"/>
      <w:bookmarkStart w:id="47" w:name="_Toc20735"/>
      <w:r>
        <w:rPr>
          <w:rFonts w:hint="eastAsia" w:ascii="楷体" w:hAnsi="楷体" w:eastAsia="楷体" w:cs="楷体"/>
          <w:color w:val="auto"/>
        </w:rPr>
        <w:t>（二）提高沿海LNG接卸能力</w:t>
      </w:r>
      <w:bookmarkEnd w:id="45"/>
      <w:bookmarkEnd w:id="46"/>
      <w:bookmarkEnd w:id="47"/>
    </w:p>
    <w:p>
      <w:pPr>
        <w:ind w:firstLine="640" w:firstLineChars="200"/>
        <w:rPr>
          <w:rFonts w:ascii="Times New Roman" w:hAnsi="Times New Roman" w:eastAsia="仿宋_GB2312" w:cs="仿宋_GB2312"/>
          <w:color w:val="auto"/>
          <w:kern w:val="0"/>
          <w:sz w:val="32"/>
          <w:szCs w:val="32"/>
        </w:rPr>
      </w:pPr>
      <w:r>
        <w:rPr>
          <w:rFonts w:hint="eastAsia" w:ascii="仿宋" w:hAnsi="仿宋" w:eastAsia="仿宋" w:cs="仿宋"/>
          <w:color w:val="auto"/>
          <w:kern w:val="0"/>
          <w:sz w:val="32"/>
          <w:szCs w:val="32"/>
        </w:rPr>
        <w:t>充分发挥我区沿海沿江沿边的区位优势，统筹北部湾沿海港口功能布局和码头资源等，加快构建以北海、钦州、防城港为主，互联互通，主要服务全区的 LNG 储运体系，提高沿海港口LNG 接卸能力。</w:t>
      </w:r>
    </w:p>
    <w:p>
      <w:pPr>
        <w:pStyle w:val="3"/>
        <w:spacing w:before="0" w:after="0" w:line="240" w:lineRule="auto"/>
        <w:ind w:left="643"/>
        <w:rPr>
          <w:rFonts w:ascii="Times New Roman" w:hAnsi="Times New Roman" w:eastAsia="楷体" w:cs="楷体"/>
          <w:color w:val="auto"/>
        </w:rPr>
      </w:pPr>
      <w:bookmarkStart w:id="48" w:name="_Toc27274"/>
      <w:bookmarkStart w:id="49" w:name="_Toc19041"/>
      <w:bookmarkStart w:id="50" w:name="_Toc22926"/>
      <w:r>
        <w:rPr>
          <w:rFonts w:hint="eastAsia" w:ascii="Times New Roman" w:hAnsi="Times New Roman" w:eastAsia="楷体" w:cs="楷体"/>
          <w:color w:val="auto"/>
        </w:rPr>
        <w:t>（三）</w:t>
      </w:r>
      <w:bookmarkEnd w:id="48"/>
      <w:r>
        <w:rPr>
          <w:rFonts w:hint="eastAsia" w:ascii="Times New Roman" w:hAnsi="Times New Roman" w:eastAsia="楷体" w:cs="楷体"/>
          <w:color w:val="auto"/>
          <w:highlight w:val="none"/>
          <w:lang w:val="en-US" w:eastAsia="zh-CN"/>
        </w:rPr>
        <w:t>加快天然气基础设施互联互通</w:t>
      </w:r>
      <w:bookmarkEnd w:id="49"/>
      <w:bookmarkEnd w:id="50"/>
    </w:p>
    <w:p>
      <w:pPr>
        <w:ind w:firstLine="640" w:firstLineChars="200"/>
        <w:rPr>
          <w:rFonts w:ascii="仿宋" w:hAnsi="仿宋" w:eastAsia="仿宋" w:cs="仿宋"/>
          <w:color w:val="auto"/>
          <w:kern w:val="0"/>
          <w:sz w:val="32"/>
          <w:szCs w:val="32"/>
        </w:rPr>
      </w:pPr>
      <w:r>
        <w:rPr>
          <w:rFonts w:hint="eastAsia" w:ascii="仿宋" w:hAnsi="仿宋" w:eastAsia="仿宋" w:cs="仿宋"/>
          <w:color w:val="auto"/>
          <w:kern w:val="0"/>
          <w:sz w:val="32"/>
          <w:szCs w:val="32"/>
        </w:rPr>
        <w:t>2020年前</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加快区内天然气基础设施互联互通重点工程建设，开工建设北海LNG外输管道桂林支线，扩建北海LNG接收站（气化外输能力）、南宁压气站、来宾压气站，新建桂林压气站。新建新疆煤制气外输管道广西支干线，广西北海LNG外输管道桂林支线进行联网，形成气源互补。</w:t>
      </w:r>
    </w:p>
    <w:p>
      <w:pPr>
        <w:ind w:firstLine="640" w:firstLineChars="200"/>
        <w:rPr>
          <w:rFonts w:ascii="仿宋" w:hAnsi="仿宋" w:eastAsia="仿宋" w:cs="仿宋"/>
          <w:color w:val="auto"/>
          <w:sz w:val="32"/>
          <w:szCs w:val="32"/>
        </w:rPr>
      </w:pPr>
      <w:r>
        <w:rPr>
          <w:rFonts w:hint="eastAsia" w:ascii="仿宋" w:hAnsi="仿宋" w:eastAsia="仿宋" w:cs="仿宋"/>
          <w:color w:val="auto"/>
          <w:kern w:val="0"/>
          <w:sz w:val="32"/>
          <w:szCs w:val="32"/>
        </w:rPr>
        <w:t>2025年前</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加快配套建设规划LNG项目的外输管道，推动沿海LNG储备工程与三条已建的干线管网进行联通。在“县县通”工程完成的基础上，适时启动广西天然气支线管网与区内的国家干线管网之间的互联互通，推动天然气支线管网在桂中、桂东、桂北等片区形成环网的格局，实现管道多向输送，最大限度发挥应急和调峰能力。</w:t>
      </w:r>
    </w:p>
    <w:p>
      <w:pPr>
        <w:jc w:val="center"/>
        <w:rPr>
          <w:rFonts w:ascii="Times New Roman" w:hAnsi="Times New Roman" w:cs="仿宋_GB2312"/>
          <w:color w:val="auto"/>
          <w:kern w:val="0"/>
          <w:sz w:val="32"/>
          <w:szCs w:val="32"/>
        </w:rPr>
      </w:pPr>
      <w:r>
        <w:rPr>
          <w:rFonts w:hint="eastAsia" w:ascii="黑体" w:hAnsi="黑体" w:eastAsia="黑体" w:cs="黑体"/>
          <w:color w:val="auto"/>
          <w:sz w:val="32"/>
          <w:szCs w:val="32"/>
        </w:rPr>
        <w:t>表</w:t>
      </w:r>
      <w:r>
        <w:rPr>
          <w:rFonts w:ascii="黑体" w:hAnsi="黑体" w:eastAsia="黑体" w:cs="黑体"/>
          <w:color w:val="auto"/>
          <w:sz w:val="32"/>
          <w:szCs w:val="32"/>
        </w:rPr>
        <w:t>5</w:t>
      </w:r>
      <w:r>
        <w:rPr>
          <w:rFonts w:hint="eastAsia" w:ascii="黑体" w:hAnsi="黑体" w:eastAsia="黑体" w:cs="黑体"/>
          <w:color w:val="auto"/>
          <w:sz w:val="32"/>
          <w:szCs w:val="32"/>
        </w:rPr>
        <w:t xml:space="preserve"> </w:t>
      </w:r>
      <w:r>
        <w:rPr>
          <w:rFonts w:ascii="黑体" w:hAnsi="黑体" w:eastAsia="黑体" w:cs="黑体"/>
          <w:color w:val="auto"/>
          <w:sz w:val="32"/>
          <w:szCs w:val="32"/>
        </w:rPr>
        <w:t>2020</w:t>
      </w:r>
      <w:r>
        <w:rPr>
          <w:rFonts w:hint="eastAsia" w:ascii="黑体" w:hAnsi="黑体" w:eastAsia="黑体" w:cs="黑体"/>
          <w:color w:val="auto"/>
          <w:sz w:val="32"/>
          <w:szCs w:val="32"/>
        </w:rPr>
        <w:t>年前</w:t>
      </w:r>
      <w:r>
        <w:rPr>
          <w:rFonts w:hint="eastAsia" w:ascii="黑体" w:hAnsi="黑体" w:eastAsia="黑体" w:cs="黑体"/>
          <w:color w:val="auto"/>
          <w:sz w:val="32"/>
          <w:szCs w:val="32"/>
          <w:lang w:eastAsia="zh-CN"/>
        </w:rPr>
        <w:t>开工建设的</w:t>
      </w:r>
      <w:r>
        <w:rPr>
          <w:rFonts w:ascii="黑体" w:hAnsi="黑体" w:eastAsia="黑体" w:cs="黑体"/>
          <w:color w:val="auto"/>
          <w:sz w:val="32"/>
          <w:szCs w:val="32"/>
        </w:rPr>
        <w:t>重要</w:t>
      </w:r>
      <w:r>
        <w:rPr>
          <w:rFonts w:hint="eastAsia" w:ascii="黑体" w:hAnsi="黑体" w:eastAsia="黑体" w:cs="黑体"/>
          <w:color w:val="auto"/>
          <w:sz w:val="32"/>
          <w:szCs w:val="32"/>
        </w:rPr>
        <w:t>输气管网</w:t>
      </w:r>
      <w:r>
        <w:rPr>
          <w:rFonts w:ascii="黑体" w:hAnsi="黑体" w:eastAsia="黑体" w:cs="黑体"/>
          <w:color w:val="auto"/>
          <w:sz w:val="32"/>
          <w:szCs w:val="32"/>
        </w:rPr>
        <w:t>项目</w:t>
      </w:r>
    </w:p>
    <w:tbl>
      <w:tblPr>
        <w:tblStyle w:val="10"/>
        <w:tblW w:w="83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2379"/>
        <w:gridCol w:w="2866"/>
        <w:gridCol w:w="1118"/>
        <w:gridCol w:w="1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4" w:hRule="atLeast"/>
          <w:tblHeader/>
        </w:trPr>
        <w:tc>
          <w:tcPr>
            <w:tcW w:w="730"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序号</w:t>
            </w:r>
          </w:p>
        </w:tc>
        <w:tc>
          <w:tcPr>
            <w:tcW w:w="2379"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项目名称</w:t>
            </w:r>
          </w:p>
        </w:tc>
        <w:tc>
          <w:tcPr>
            <w:tcW w:w="2866"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工程内容</w:t>
            </w:r>
          </w:p>
        </w:tc>
        <w:tc>
          <w:tcPr>
            <w:tcW w:w="11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项目</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单位</w:t>
            </w:r>
          </w:p>
        </w:tc>
        <w:tc>
          <w:tcPr>
            <w:tcW w:w="12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计划开工</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zh-CN"/>
              </w:rPr>
              <w:t>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30"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w:t>
            </w:r>
          </w:p>
        </w:tc>
        <w:tc>
          <w:tcPr>
            <w:tcW w:w="2379"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广西北海LNG接收站扩建</w:t>
            </w:r>
          </w:p>
        </w:tc>
        <w:tc>
          <w:tcPr>
            <w:tcW w:w="2866"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新增高压泵、气化器等设施，气化外输能力扩建至3000万方/天</w:t>
            </w:r>
          </w:p>
        </w:tc>
        <w:tc>
          <w:tcPr>
            <w:tcW w:w="1118"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中石化</w:t>
            </w:r>
          </w:p>
        </w:tc>
        <w:tc>
          <w:tcPr>
            <w:tcW w:w="1213"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20</w:t>
            </w:r>
            <w:r>
              <w:rPr>
                <w:rFonts w:hint="eastAsia" w:ascii="仿宋" w:hAnsi="仿宋" w:eastAsia="仿宋" w:cs="仿宋"/>
                <w:color w:val="auto"/>
                <w:sz w:val="24"/>
                <w:szCs w:val="24"/>
                <w:lang w:val="en-US" w:eastAsia="zh-CN"/>
              </w:rPr>
              <w:t>20年前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30"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w:t>
            </w:r>
          </w:p>
        </w:tc>
        <w:tc>
          <w:tcPr>
            <w:tcW w:w="2379"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南宁压气站</w:t>
            </w:r>
          </w:p>
        </w:tc>
        <w:tc>
          <w:tcPr>
            <w:tcW w:w="2866"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分输站扩建为压气站，新增3套压缩机组，2回路配套外电</w:t>
            </w:r>
          </w:p>
        </w:tc>
        <w:tc>
          <w:tcPr>
            <w:tcW w:w="1118"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中石化</w:t>
            </w:r>
          </w:p>
        </w:tc>
        <w:tc>
          <w:tcPr>
            <w:tcW w:w="1213"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20</w:t>
            </w:r>
            <w:r>
              <w:rPr>
                <w:rFonts w:hint="eastAsia" w:ascii="仿宋" w:hAnsi="仿宋" w:eastAsia="仿宋" w:cs="仿宋"/>
                <w:color w:val="auto"/>
                <w:sz w:val="24"/>
                <w:szCs w:val="24"/>
                <w:lang w:val="en-US" w:eastAsia="zh-CN"/>
              </w:rPr>
              <w:t>20年前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30"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3</w:t>
            </w:r>
          </w:p>
        </w:tc>
        <w:tc>
          <w:tcPr>
            <w:tcW w:w="2379"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广西北海LNG外输管道桂林支线</w:t>
            </w:r>
          </w:p>
        </w:tc>
        <w:tc>
          <w:tcPr>
            <w:tcW w:w="2866"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新建165千米管道，设计压力10Mpa</w:t>
            </w:r>
          </w:p>
        </w:tc>
        <w:tc>
          <w:tcPr>
            <w:tcW w:w="1118"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中石化</w:t>
            </w:r>
          </w:p>
        </w:tc>
        <w:tc>
          <w:tcPr>
            <w:tcW w:w="1213"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20</w:t>
            </w:r>
            <w:r>
              <w:rPr>
                <w:rFonts w:hint="eastAsia" w:ascii="仿宋" w:hAnsi="仿宋" w:eastAsia="仿宋" w:cs="仿宋"/>
                <w:color w:val="auto"/>
                <w:sz w:val="24"/>
                <w:szCs w:val="24"/>
                <w:lang w:val="en-US" w:eastAsia="zh-CN"/>
              </w:rPr>
              <w:t>20年前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30"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4</w:t>
            </w:r>
          </w:p>
        </w:tc>
        <w:tc>
          <w:tcPr>
            <w:tcW w:w="2379"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广西北海LNG外输管道来宾压气站</w:t>
            </w:r>
          </w:p>
        </w:tc>
        <w:tc>
          <w:tcPr>
            <w:tcW w:w="2866"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分输站扩建为压气站，新增3套压缩机组，2回路配套外电</w:t>
            </w:r>
          </w:p>
        </w:tc>
        <w:tc>
          <w:tcPr>
            <w:tcW w:w="1118"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中石化</w:t>
            </w:r>
          </w:p>
        </w:tc>
        <w:tc>
          <w:tcPr>
            <w:tcW w:w="1213"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20</w:t>
            </w:r>
            <w:r>
              <w:rPr>
                <w:rFonts w:hint="eastAsia" w:ascii="仿宋" w:hAnsi="仿宋" w:eastAsia="仿宋" w:cs="仿宋"/>
                <w:color w:val="auto"/>
                <w:sz w:val="24"/>
                <w:szCs w:val="24"/>
                <w:lang w:val="en-US" w:eastAsia="zh-CN"/>
              </w:rPr>
              <w:t>20年前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30"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5</w:t>
            </w:r>
          </w:p>
        </w:tc>
        <w:tc>
          <w:tcPr>
            <w:tcW w:w="2379"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广西北海LNG外输管道桂林压气站</w:t>
            </w:r>
          </w:p>
        </w:tc>
        <w:tc>
          <w:tcPr>
            <w:tcW w:w="2866"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新建压气站，新增3套压缩机组，2回路配套外电</w:t>
            </w:r>
          </w:p>
        </w:tc>
        <w:tc>
          <w:tcPr>
            <w:tcW w:w="1118"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中石化</w:t>
            </w:r>
          </w:p>
        </w:tc>
        <w:tc>
          <w:tcPr>
            <w:tcW w:w="1213"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20</w:t>
            </w:r>
            <w:r>
              <w:rPr>
                <w:rFonts w:hint="eastAsia" w:ascii="仿宋" w:hAnsi="仿宋" w:eastAsia="仿宋" w:cs="仿宋"/>
                <w:color w:val="auto"/>
                <w:sz w:val="24"/>
                <w:szCs w:val="24"/>
                <w:lang w:val="en-US" w:eastAsia="zh-CN"/>
              </w:rPr>
              <w:t>20年前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30"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6</w:t>
            </w:r>
          </w:p>
        </w:tc>
        <w:tc>
          <w:tcPr>
            <w:tcW w:w="2379"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新疆煤制气外输管道广西支干线</w:t>
            </w:r>
          </w:p>
        </w:tc>
        <w:tc>
          <w:tcPr>
            <w:tcW w:w="2866" w:type="dxa"/>
            <w:vAlign w:val="center"/>
          </w:tcPr>
          <w:p>
            <w:pPr>
              <w:keepNext w:val="0"/>
              <w:keepLines w:val="0"/>
              <w:suppressLineNumbers w:val="0"/>
              <w:spacing w:before="0" w:beforeLines="0" w:beforeAutospacing="0" w:after="0" w:afterLines="0" w:afterAutospacing="0" w:line="400" w:lineRule="exact"/>
              <w:ind w:left="0" w:right="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新疆煤制气外输管道广西支干线与广西LNG外输管道桂林支线互联互通</w:t>
            </w:r>
          </w:p>
        </w:tc>
        <w:tc>
          <w:tcPr>
            <w:tcW w:w="1118"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中石化</w:t>
            </w:r>
          </w:p>
        </w:tc>
        <w:tc>
          <w:tcPr>
            <w:tcW w:w="1213" w:type="dxa"/>
            <w:vAlign w:val="center"/>
          </w:tcPr>
          <w:p>
            <w:pPr>
              <w:keepNext w:val="0"/>
              <w:keepLines w:val="0"/>
              <w:suppressLineNumbers w:val="0"/>
              <w:spacing w:before="0" w:beforeLines="0" w:beforeAutospacing="0" w:after="0" w:afterLines="0" w:afterAutospacing="0" w:line="400" w:lineRule="exact"/>
              <w:ind w:left="0" w:right="0"/>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20</w:t>
            </w:r>
            <w:r>
              <w:rPr>
                <w:rFonts w:hint="eastAsia" w:ascii="仿宋" w:hAnsi="仿宋" w:eastAsia="仿宋" w:cs="仿宋"/>
                <w:color w:val="auto"/>
                <w:sz w:val="24"/>
                <w:szCs w:val="24"/>
                <w:lang w:val="en-US" w:eastAsia="zh-CN"/>
              </w:rPr>
              <w:t>20年前</w:t>
            </w:r>
          </w:p>
        </w:tc>
      </w:tr>
    </w:tbl>
    <w:p>
      <w:pPr>
        <w:pStyle w:val="3"/>
        <w:spacing w:before="0" w:after="0" w:line="240" w:lineRule="auto"/>
        <w:ind w:left="643"/>
        <w:rPr>
          <w:rFonts w:ascii="Times New Roman" w:hAnsi="Times New Roman" w:eastAsia="楷体" w:cs="楷体"/>
          <w:color w:val="auto"/>
        </w:rPr>
      </w:pPr>
      <w:bookmarkStart w:id="51" w:name="_Toc19920"/>
      <w:bookmarkStart w:id="52" w:name="_Toc22853"/>
      <w:bookmarkStart w:id="53" w:name="_Toc18268"/>
      <w:r>
        <w:rPr>
          <w:rFonts w:hint="eastAsia" w:ascii="Times New Roman" w:hAnsi="Times New Roman" w:eastAsia="楷体" w:cs="楷体"/>
          <w:color w:val="auto"/>
        </w:rPr>
        <w:t>（</w:t>
      </w:r>
      <w:r>
        <w:rPr>
          <w:rFonts w:hint="eastAsia" w:ascii="Times New Roman" w:hAnsi="Times New Roman" w:eastAsia="楷体" w:cs="楷体"/>
          <w:color w:val="auto"/>
          <w:lang w:eastAsia="zh-CN"/>
        </w:rPr>
        <w:t>四</w:t>
      </w:r>
      <w:r>
        <w:rPr>
          <w:rFonts w:hint="eastAsia" w:ascii="Times New Roman" w:hAnsi="Times New Roman" w:eastAsia="楷体" w:cs="楷体"/>
          <w:color w:val="auto"/>
        </w:rPr>
        <w:t>）建立多层次天然气调峰储备体系</w:t>
      </w:r>
      <w:bookmarkEnd w:id="51"/>
      <w:bookmarkEnd w:id="52"/>
      <w:bookmarkEnd w:id="53"/>
    </w:p>
    <w:p>
      <w:pPr>
        <w:ind w:firstLine="640" w:firstLineChars="200"/>
        <w:rPr>
          <w:rFonts w:ascii="仿宋" w:hAnsi="仿宋" w:eastAsia="仿宋" w:cs="仿宋"/>
          <w:color w:val="auto"/>
          <w:sz w:val="32"/>
        </w:rPr>
      </w:pPr>
      <w:r>
        <w:rPr>
          <w:rFonts w:hint="eastAsia" w:ascii="仿宋" w:hAnsi="仿宋" w:eastAsia="仿宋" w:cs="仿宋"/>
          <w:color w:val="auto"/>
          <w:sz w:val="32"/>
        </w:rPr>
        <w:t>鼓励地方政府、城</w:t>
      </w:r>
      <w:r>
        <w:rPr>
          <w:rFonts w:hint="eastAsia" w:ascii="仿宋" w:hAnsi="仿宋" w:eastAsia="仿宋" w:cs="仿宋"/>
          <w:color w:val="auto"/>
          <w:sz w:val="32"/>
          <w:lang w:eastAsia="zh-CN"/>
        </w:rPr>
        <w:t>镇</w:t>
      </w:r>
      <w:r>
        <w:rPr>
          <w:rFonts w:hint="eastAsia" w:ascii="仿宋" w:hAnsi="仿宋" w:eastAsia="仿宋" w:cs="仿宋"/>
          <w:color w:val="auto"/>
          <w:sz w:val="32"/>
        </w:rPr>
        <w:t>燃气企业、不可中断大用户与上游气源企业等第三方合资建设沿海LNG接收站（储配站、调峰站等）储罐罐容、地下储库工作气量，以及陆上（含内河等）具备一定规模，可为下游输配管网、终端气化站等调峰的LNG、CNG储罐罐容等</w:t>
      </w:r>
      <w:r>
        <w:rPr>
          <w:rFonts w:hint="eastAsia" w:ascii="仿宋" w:hAnsi="仿宋" w:eastAsia="仿宋" w:cs="仿宋"/>
          <w:color w:val="auto"/>
          <w:sz w:val="32"/>
          <w:lang w:eastAsia="zh-CN"/>
        </w:rPr>
        <w:t>。</w:t>
      </w:r>
      <w:r>
        <w:rPr>
          <w:rFonts w:hint="eastAsia" w:ascii="仿宋" w:hAnsi="仿宋" w:eastAsia="仿宋" w:cs="仿宋"/>
          <w:color w:val="auto"/>
          <w:sz w:val="32"/>
        </w:rPr>
        <w:t>合资建设的储气设施，其储气能力可按投资比例分解计入相应出资方。</w:t>
      </w:r>
    </w:p>
    <w:p>
      <w:pPr>
        <w:ind w:firstLine="640" w:firstLineChars="20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逐步建立储气调峰辅助服务市场，建立储气调峰价格体系，推动储气设施商业化运营；</w:t>
      </w:r>
      <w:r>
        <w:rPr>
          <w:rFonts w:hint="eastAsia" w:ascii="仿宋_GB2312" w:eastAsia="仿宋_GB2312" w:cs="仿宋_GB2312"/>
          <w:color w:val="auto"/>
          <w:kern w:val="0"/>
          <w:sz w:val="32"/>
          <w:szCs w:val="32"/>
        </w:rPr>
        <w:t>给予储气服务市场更多自主创新空间，鼓励企业创新储气设施运营模式和合作方式，提高储气库利用率，建立自主盈利模式；</w:t>
      </w:r>
      <w:r>
        <w:rPr>
          <w:rFonts w:hint="eastAsia" w:ascii="Times New Roman" w:hAnsi="Times New Roman" w:eastAsia="仿宋_GB2312" w:cs="仿宋_GB2312"/>
          <w:color w:val="auto"/>
          <w:kern w:val="0"/>
          <w:sz w:val="32"/>
          <w:szCs w:val="32"/>
        </w:rPr>
        <w:t>加快建设能源综合管理中心，建立应急指挥平台，促进储气设施间灵活调配。</w:t>
      </w:r>
    </w:p>
    <w:p>
      <w:pPr>
        <w:pStyle w:val="2"/>
        <w:numPr>
          <w:ilvl w:val="0"/>
          <w:numId w:val="1"/>
        </w:numPr>
        <w:spacing w:before="0" w:after="0" w:line="240" w:lineRule="auto"/>
        <w:ind w:firstLine="643" w:firstLineChars="200"/>
        <w:rPr>
          <w:rFonts w:hint="eastAsia" w:ascii="Times New Roman" w:hAnsi="Times New Roman" w:eastAsia="黑体" w:cs="黑体"/>
          <w:color w:val="auto"/>
          <w:sz w:val="32"/>
          <w:szCs w:val="32"/>
        </w:rPr>
      </w:pPr>
      <w:bookmarkStart w:id="54" w:name="_Toc18273"/>
      <w:bookmarkStart w:id="55" w:name="_Toc26414"/>
      <w:r>
        <w:rPr>
          <w:rFonts w:hint="eastAsia" w:ascii="Times New Roman" w:hAnsi="Times New Roman" w:eastAsia="黑体" w:cs="黑体"/>
          <w:color w:val="auto"/>
          <w:sz w:val="32"/>
          <w:szCs w:val="32"/>
          <w:lang w:eastAsia="zh-CN"/>
        </w:rPr>
        <w:t>环境影响评估</w:t>
      </w:r>
      <w:bookmarkEnd w:id="54"/>
      <w:bookmarkEnd w:id="55"/>
    </w:p>
    <w:p>
      <w:pPr>
        <w:pStyle w:val="3"/>
        <w:spacing w:before="0" w:beforeLines="0" w:after="0" w:afterLines="0" w:line="240" w:lineRule="auto"/>
        <w:ind w:left="643"/>
        <w:rPr>
          <w:rFonts w:hint="eastAsia" w:ascii="Times New Roman" w:hAnsi="Times New Roman" w:eastAsia="楷体" w:cs="楷体"/>
          <w:color w:val="auto"/>
          <w:sz w:val="32"/>
          <w:szCs w:val="32"/>
        </w:rPr>
      </w:pPr>
      <w:bookmarkStart w:id="56" w:name="_Toc22212"/>
      <w:bookmarkStart w:id="57" w:name="_Toc3317"/>
      <w:r>
        <w:rPr>
          <w:rFonts w:hint="eastAsia" w:ascii="Times New Roman" w:hAnsi="Times New Roman" w:eastAsia="楷体" w:cs="楷体"/>
          <w:color w:val="auto"/>
          <w:sz w:val="32"/>
          <w:szCs w:val="32"/>
          <w:lang w:eastAsia="zh-CN"/>
        </w:rPr>
        <w:t>（一）</w:t>
      </w:r>
      <w:r>
        <w:rPr>
          <w:rFonts w:hint="eastAsia" w:ascii="Times New Roman" w:hAnsi="Times New Roman" w:eastAsia="楷体" w:cs="楷体"/>
          <w:color w:val="auto"/>
          <w:sz w:val="32"/>
          <w:szCs w:val="32"/>
        </w:rPr>
        <w:t>环境影响分析</w:t>
      </w:r>
      <w:bookmarkEnd w:id="56"/>
      <w:bookmarkEnd w:id="57"/>
    </w:p>
    <w:p>
      <w:pPr>
        <w:spacing w:beforeLines="0" w:afterLines="0"/>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天然气</w:t>
      </w:r>
      <w:r>
        <w:rPr>
          <w:rFonts w:hint="eastAsia" w:ascii="仿宋" w:hAnsi="仿宋" w:eastAsia="仿宋" w:cs="仿宋"/>
          <w:color w:val="auto"/>
          <w:sz w:val="32"/>
          <w:szCs w:val="32"/>
          <w:lang w:eastAsia="zh-CN"/>
        </w:rPr>
        <w:t>储气</w:t>
      </w:r>
      <w:r>
        <w:rPr>
          <w:rFonts w:hint="eastAsia" w:ascii="仿宋" w:hAnsi="仿宋" w:eastAsia="仿宋" w:cs="仿宋"/>
          <w:color w:val="auto"/>
          <w:sz w:val="32"/>
          <w:szCs w:val="32"/>
        </w:rPr>
        <w:t>工程</w:t>
      </w:r>
      <w:r>
        <w:rPr>
          <w:rFonts w:hint="eastAsia" w:ascii="仿宋" w:hAnsi="仿宋" w:eastAsia="仿宋" w:cs="仿宋"/>
          <w:color w:val="auto"/>
          <w:sz w:val="32"/>
          <w:szCs w:val="32"/>
          <w:lang w:eastAsia="zh-CN"/>
        </w:rPr>
        <w:t>对</w:t>
      </w:r>
      <w:r>
        <w:rPr>
          <w:rFonts w:hint="eastAsia" w:ascii="仿宋" w:hAnsi="仿宋" w:eastAsia="仿宋" w:cs="仿宋"/>
          <w:color w:val="auto"/>
          <w:sz w:val="32"/>
          <w:szCs w:val="32"/>
        </w:rPr>
        <w:t>环境的不利影响</w:t>
      </w:r>
      <w:r>
        <w:rPr>
          <w:rFonts w:hint="eastAsia" w:ascii="仿宋" w:hAnsi="仿宋" w:eastAsia="仿宋" w:cs="仿宋"/>
          <w:color w:val="auto"/>
          <w:sz w:val="32"/>
          <w:szCs w:val="32"/>
          <w:lang w:eastAsia="zh-CN"/>
        </w:rPr>
        <w:t>主要</w:t>
      </w:r>
      <w:r>
        <w:rPr>
          <w:rFonts w:hint="eastAsia" w:ascii="仿宋" w:hAnsi="仿宋" w:eastAsia="仿宋" w:cs="仿宋"/>
          <w:color w:val="auto"/>
          <w:sz w:val="32"/>
          <w:szCs w:val="32"/>
        </w:rPr>
        <w:t>在施工建设期和生产运行期。施工</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期</w:t>
      </w:r>
      <w:r>
        <w:rPr>
          <w:rFonts w:hint="eastAsia" w:ascii="仿宋" w:hAnsi="仿宋" w:eastAsia="仿宋" w:cs="仿宋"/>
          <w:color w:val="auto"/>
          <w:sz w:val="32"/>
          <w:szCs w:val="32"/>
          <w:lang w:eastAsia="zh-CN"/>
        </w:rPr>
        <w:t>对</w:t>
      </w:r>
      <w:r>
        <w:rPr>
          <w:rFonts w:hint="eastAsia" w:ascii="仿宋" w:hAnsi="仿宋" w:eastAsia="仿宋" w:cs="仿宋"/>
          <w:color w:val="auto"/>
          <w:sz w:val="32"/>
          <w:szCs w:val="32"/>
        </w:rPr>
        <w:t>的环境影响</w:t>
      </w:r>
      <w:r>
        <w:rPr>
          <w:rFonts w:hint="eastAsia" w:ascii="仿宋" w:hAnsi="仿宋" w:eastAsia="仿宋" w:cs="仿宋"/>
          <w:color w:val="auto"/>
          <w:sz w:val="32"/>
          <w:szCs w:val="32"/>
          <w:lang w:eastAsia="zh-CN"/>
        </w:rPr>
        <w:t>主要体现在施工对设施沿线部分植被的破坏，开挖作业对土壤性质的改变，以及施工作业时产生的噪音和三废。</w:t>
      </w:r>
      <w:r>
        <w:rPr>
          <w:rFonts w:hint="eastAsia" w:ascii="仿宋" w:hAnsi="仿宋" w:eastAsia="仿宋" w:cs="仿宋"/>
          <w:color w:val="auto"/>
          <w:sz w:val="32"/>
          <w:szCs w:val="32"/>
        </w:rPr>
        <w:t>运行期间产生的环境影响</w:t>
      </w:r>
      <w:r>
        <w:rPr>
          <w:rFonts w:hint="eastAsia" w:ascii="仿宋" w:hAnsi="仿宋" w:eastAsia="仿宋" w:cs="仿宋"/>
          <w:color w:val="auto"/>
          <w:sz w:val="32"/>
          <w:szCs w:val="32"/>
          <w:lang w:eastAsia="zh-CN"/>
        </w:rPr>
        <w:t>主要是设备及管道清洗产生的噪音和三废，以及各</w:t>
      </w:r>
      <w:r>
        <w:rPr>
          <w:rFonts w:hint="eastAsia" w:ascii="仿宋" w:hAnsi="仿宋" w:eastAsia="仿宋" w:cs="仿宋"/>
          <w:color w:val="auto"/>
          <w:sz w:val="32"/>
          <w:szCs w:val="32"/>
        </w:rPr>
        <w:t>站场工作人员产生的生活污水垃圾等。</w:t>
      </w:r>
    </w:p>
    <w:p>
      <w:pPr>
        <w:pStyle w:val="3"/>
        <w:spacing w:before="0" w:beforeLines="0" w:after="0" w:afterLines="0" w:line="240" w:lineRule="auto"/>
        <w:ind w:left="643"/>
        <w:rPr>
          <w:rFonts w:hint="eastAsia" w:ascii="Times New Roman" w:hAnsi="Times New Roman" w:eastAsia="楷体" w:cs="楷体"/>
          <w:color w:val="auto"/>
          <w:sz w:val="32"/>
          <w:szCs w:val="32"/>
        </w:rPr>
      </w:pPr>
      <w:bookmarkStart w:id="58" w:name="_Toc2328"/>
      <w:bookmarkStart w:id="59" w:name="_Toc23881"/>
      <w:r>
        <w:rPr>
          <w:rFonts w:hint="eastAsia" w:ascii="Times New Roman" w:hAnsi="Times New Roman" w:eastAsia="楷体" w:cs="楷体"/>
          <w:color w:val="auto"/>
          <w:sz w:val="32"/>
          <w:szCs w:val="32"/>
          <w:lang w:eastAsia="zh-CN"/>
        </w:rPr>
        <w:t>（二）</w:t>
      </w:r>
      <w:r>
        <w:rPr>
          <w:rFonts w:hint="eastAsia" w:ascii="Times New Roman" w:hAnsi="Times New Roman" w:eastAsia="楷体" w:cs="楷体"/>
          <w:color w:val="auto"/>
          <w:sz w:val="32"/>
          <w:szCs w:val="32"/>
        </w:rPr>
        <w:t>环境保护措施</w:t>
      </w:r>
      <w:bookmarkEnd w:id="58"/>
      <w:bookmarkEnd w:id="59"/>
    </w:p>
    <w:p>
      <w:pPr>
        <w:spacing w:beforeLines="0" w:afterLines="0"/>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施工期间环保措施</w:t>
      </w:r>
      <w:r>
        <w:rPr>
          <w:rFonts w:hint="eastAsia" w:ascii="仿宋" w:hAnsi="仿宋" w:eastAsia="仿宋" w:cs="仿宋"/>
          <w:color w:val="auto"/>
          <w:sz w:val="32"/>
          <w:szCs w:val="32"/>
          <w:lang w:eastAsia="zh-CN"/>
        </w:rPr>
        <w:t>包括</w:t>
      </w:r>
      <w:r>
        <w:rPr>
          <w:rFonts w:hint="eastAsia" w:ascii="仿宋" w:hAnsi="仿宋" w:eastAsia="仿宋" w:cs="仿宋"/>
          <w:color w:val="auto"/>
          <w:sz w:val="32"/>
          <w:szCs w:val="32"/>
        </w:rPr>
        <w:t>：尽量避开自然保护区、风景名胜区和生态环境脆弱地区</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尽量缩小施工作业范围</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rPr>
        <w:t>施工占地；避免在暴雨、大风等恶劣天气条件下施工，减少水土流失和扬尘；施工完毕后做好土地的平整工作，尽量恢复原有地貌</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在人群集中区域附近施工时，应减少夜间作业，</w:t>
      </w:r>
      <w:r>
        <w:rPr>
          <w:rFonts w:hint="eastAsia" w:ascii="仿宋" w:hAnsi="仿宋" w:eastAsia="仿宋" w:cs="仿宋"/>
          <w:color w:val="auto"/>
          <w:sz w:val="32"/>
          <w:szCs w:val="32"/>
          <w:lang w:eastAsia="zh-CN"/>
        </w:rPr>
        <w:t>减少</w:t>
      </w:r>
      <w:r>
        <w:rPr>
          <w:rFonts w:hint="eastAsia" w:ascii="仿宋" w:hAnsi="仿宋" w:eastAsia="仿宋" w:cs="仿宋"/>
          <w:color w:val="auto"/>
          <w:sz w:val="32"/>
          <w:szCs w:val="32"/>
        </w:rPr>
        <w:t>噪声扰民；施工</w:t>
      </w:r>
      <w:r>
        <w:rPr>
          <w:rFonts w:hint="eastAsia" w:ascii="仿宋" w:hAnsi="仿宋" w:eastAsia="仿宋" w:cs="仿宋"/>
          <w:color w:val="auto"/>
          <w:sz w:val="32"/>
          <w:szCs w:val="32"/>
          <w:lang w:eastAsia="zh-CN"/>
        </w:rPr>
        <w:t>产生的</w:t>
      </w:r>
      <w:r>
        <w:rPr>
          <w:rFonts w:hint="eastAsia" w:ascii="仿宋" w:hAnsi="仿宋" w:eastAsia="仿宋" w:cs="仿宋"/>
          <w:color w:val="auto"/>
          <w:sz w:val="32"/>
          <w:szCs w:val="32"/>
        </w:rPr>
        <w:t>废料经分类收集后回收利用，或运送至指定的抛废区。</w:t>
      </w:r>
    </w:p>
    <w:p>
      <w:pPr>
        <w:spacing w:beforeLines="0" w:afterLines="0"/>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运行期间环保措施</w:t>
      </w:r>
      <w:r>
        <w:rPr>
          <w:rFonts w:hint="eastAsia" w:ascii="仿宋" w:hAnsi="仿宋" w:eastAsia="仿宋" w:cs="仿宋"/>
          <w:color w:val="auto"/>
          <w:sz w:val="32"/>
          <w:szCs w:val="32"/>
          <w:lang w:eastAsia="zh-CN"/>
        </w:rPr>
        <w:t>包括</w:t>
      </w:r>
      <w:r>
        <w:rPr>
          <w:rFonts w:hint="eastAsia" w:ascii="仿宋" w:hAnsi="仿宋" w:eastAsia="仿宋" w:cs="仿宋"/>
          <w:color w:val="auto"/>
          <w:sz w:val="32"/>
          <w:szCs w:val="32"/>
        </w:rPr>
        <w:t>：加强天然气工程安全管理，杜绝重大安全事故发生，减少天然气泄漏量；做好天然气</w:t>
      </w:r>
      <w:r>
        <w:rPr>
          <w:rFonts w:hint="eastAsia" w:ascii="仿宋" w:hAnsi="仿宋" w:eastAsia="仿宋" w:cs="仿宋"/>
          <w:color w:val="auto"/>
          <w:sz w:val="32"/>
          <w:szCs w:val="32"/>
          <w:lang w:eastAsia="zh-CN"/>
        </w:rPr>
        <w:t>储气设施</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部</w:t>
      </w:r>
      <w:r>
        <w:rPr>
          <w:rFonts w:hint="eastAsia" w:ascii="仿宋" w:hAnsi="仿宋" w:eastAsia="仿宋" w:cs="仿宋"/>
          <w:color w:val="auto"/>
          <w:sz w:val="32"/>
          <w:szCs w:val="32"/>
        </w:rPr>
        <w:t>噪声治理；各站场在检修（除尘）、作业时产生的废渣集中运到指定的地点填埋处置。</w:t>
      </w:r>
    </w:p>
    <w:p>
      <w:pPr>
        <w:pStyle w:val="3"/>
        <w:spacing w:before="0" w:beforeLines="0" w:after="0" w:afterLines="0" w:line="240" w:lineRule="auto"/>
        <w:ind w:left="643"/>
        <w:rPr>
          <w:rFonts w:hint="eastAsia" w:ascii="Times New Roman" w:hAnsi="Times New Roman" w:eastAsia="楷体" w:cs="楷体"/>
          <w:color w:val="auto"/>
          <w:sz w:val="32"/>
          <w:szCs w:val="32"/>
        </w:rPr>
      </w:pPr>
      <w:bookmarkStart w:id="60" w:name="_Toc28891"/>
      <w:bookmarkStart w:id="61" w:name="_Toc5306"/>
      <w:r>
        <w:rPr>
          <w:rFonts w:hint="eastAsia" w:ascii="Times New Roman" w:hAnsi="Times New Roman" w:eastAsia="楷体" w:cs="楷体"/>
          <w:color w:val="auto"/>
          <w:sz w:val="32"/>
          <w:szCs w:val="32"/>
          <w:lang w:eastAsia="zh-CN"/>
        </w:rPr>
        <w:t>（三）</w:t>
      </w:r>
      <w:r>
        <w:rPr>
          <w:rFonts w:hint="eastAsia" w:ascii="Times New Roman" w:hAnsi="Times New Roman" w:eastAsia="楷体" w:cs="楷体"/>
          <w:color w:val="auto"/>
          <w:sz w:val="32"/>
          <w:szCs w:val="32"/>
        </w:rPr>
        <w:t>环境保护效果</w:t>
      </w:r>
      <w:bookmarkEnd w:id="60"/>
      <w:bookmarkEnd w:id="61"/>
    </w:p>
    <w:p>
      <w:pPr>
        <w:spacing w:beforeLines="0" w:afterLines="0"/>
        <w:ind w:firstLine="640" w:firstLineChars="200"/>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eastAsia="zh-CN"/>
        </w:rPr>
        <w:t>按照</w:t>
      </w:r>
      <w:r>
        <w:rPr>
          <w:rFonts w:hint="eastAsia" w:ascii="仿宋" w:hAnsi="仿宋" w:eastAsia="仿宋" w:cs="仿宋"/>
          <w:color w:val="auto"/>
          <w:sz w:val="32"/>
          <w:szCs w:val="32"/>
          <w:lang w:val="zh-CN"/>
        </w:rPr>
        <w:t>满足环境功能要求和清洁生产原则，在采取相应环保措施后，</w:t>
      </w:r>
      <w:r>
        <w:rPr>
          <w:rFonts w:hint="eastAsia" w:ascii="仿宋" w:hAnsi="仿宋" w:eastAsia="仿宋" w:cs="仿宋"/>
          <w:color w:val="auto"/>
          <w:sz w:val="32"/>
          <w:szCs w:val="32"/>
          <w:lang w:val="zh-CN" w:eastAsia="zh-CN"/>
        </w:rPr>
        <w:t>储气设施</w:t>
      </w:r>
      <w:r>
        <w:rPr>
          <w:rFonts w:hint="eastAsia" w:ascii="仿宋" w:hAnsi="仿宋" w:eastAsia="仿宋" w:cs="仿宋"/>
          <w:color w:val="auto"/>
          <w:sz w:val="32"/>
          <w:szCs w:val="32"/>
          <w:lang w:val="zh-CN"/>
        </w:rPr>
        <w:t>污染物能够做到达标排放，对生态的影响为可接受的水平。天然气是清洁、高效的优质能源，</w:t>
      </w:r>
      <w:r>
        <w:rPr>
          <w:rFonts w:hint="eastAsia" w:ascii="仿宋" w:hAnsi="仿宋" w:eastAsia="仿宋" w:cs="仿宋"/>
          <w:color w:val="auto"/>
          <w:sz w:val="32"/>
          <w:szCs w:val="32"/>
          <w:lang w:val="zh-CN" w:eastAsia="zh-CN"/>
        </w:rPr>
        <w:t>加快</w:t>
      </w:r>
      <w:r>
        <w:rPr>
          <w:rFonts w:hint="eastAsia" w:ascii="仿宋" w:hAnsi="仿宋" w:eastAsia="仿宋" w:cs="仿宋"/>
          <w:color w:val="auto"/>
          <w:sz w:val="32"/>
          <w:szCs w:val="32"/>
          <w:lang w:val="zh-CN"/>
        </w:rPr>
        <w:t>天然气</w:t>
      </w:r>
      <w:r>
        <w:rPr>
          <w:rFonts w:hint="eastAsia" w:ascii="仿宋" w:hAnsi="仿宋" w:eastAsia="仿宋" w:cs="仿宋"/>
          <w:color w:val="auto"/>
          <w:sz w:val="32"/>
          <w:szCs w:val="32"/>
          <w:lang w:val="zh-CN" w:eastAsia="zh-CN"/>
        </w:rPr>
        <w:t>发展利用</w:t>
      </w:r>
      <w:r>
        <w:rPr>
          <w:rFonts w:hint="eastAsia" w:ascii="仿宋" w:hAnsi="仿宋" w:eastAsia="仿宋" w:cs="仿宋"/>
          <w:color w:val="auto"/>
          <w:sz w:val="32"/>
          <w:szCs w:val="32"/>
          <w:lang w:val="zh-CN"/>
        </w:rPr>
        <w:t>的环境效益可观，将为广西节能减排</w:t>
      </w:r>
      <w:r>
        <w:rPr>
          <w:rFonts w:hint="eastAsia" w:ascii="仿宋" w:hAnsi="仿宋" w:eastAsia="仿宋" w:cs="仿宋"/>
          <w:color w:val="auto"/>
          <w:sz w:val="32"/>
          <w:szCs w:val="32"/>
          <w:lang w:val="zh-CN" w:eastAsia="zh-CN"/>
        </w:rPr>
        <w:t>、</w:t>
      </w:r>
      <w:r>
        <w:rPr>
          <w:rFonts w:hint="eastAsia" w:ascii="仿宋" w:hAnsi="仿宋" w:eastAsia="仿宋" w:cs="仿宋"/>
          <w:color w:val="auto"/>
          <w:sz w:val="32"/>
          <w:szCs w:val="32"/>
          <w:lang w:val="zh-CN"/>
        </w:rPr>
        <w:t>改善大气环境做出重要贡献。</w:t>
      </w:r>
    </w:p>
    <w:p>
      <w:pPr>
        <w:pStyle w:val="2"/>
        <w:numPr>
          <w:ilvl w:val="0"/>
          <w:numId w:val="1"/>
        </w:numPr>
        <w:spacing w:before="0" w:after="0" w:line="240" w:lineRule="auto"/>
        <w:ind w:firstLine="643" w:firstLineChars="200"/>
        <w:rPr>
          <w:rFonts w:hint="eastAsia" w:ascii="Times New Roman" w:hAnsi="Times New Roman" w:eastAsia="黑体" w:cs="黑体"/>
          <w:color w:val="auto"/>
          <w:sz w:val="32"/>
          <w:szCs w:val="32"/>
        </w:rPr>
      </w:pPr>
      <w:bookmarkStart w:id="62" w:name="_Toc12594"/>
      <w:bookmarkStart w:id="63" w:name="_Toc30721"/>
      <w:bookmarkStart w:id="64" w:name="_Toc22631"/>
      <w:r>
        <w:rPr>
          <w:rFonts w:hint="eastAsia" w:ascii="Times New Roman" w:hAnsi="Times New Roman" w:eastAsia="黑体" w:cs="黑体"/>
          <w:color w:val="auto"/>
          <w:sz w:val="32"/>
          <w:szCs w:val="32"/>
        </w:rPr>
        <w:t>保障措施</w:t>
      </w:r>
      <w:bookmarkEnd w:id="62"/>
      <w:bookmarkEnd w:id="63"/>
      <w:bookmarkEnd w:id="64"/>
    </w:p>
    <w:p>
      <w:pPr>
        <w:pStyle w:val="3"/>
        <w:spacing w:before="0" w:after="0" w:line="240" w:lineRule="auto"/>
        <w:ind w:left="643"/>
        <w:rPr>
          <w:rFonts w:ascii="Times New Roman" w:hAnsi="Times New Roman" w:eastAsia="楷体" w:cs="楷体"/>
          <w:color w:val="auto"/>
        </w:rPr>
      </w:pPr>
      <w:bookmarkStart w:id="65" w:name="_Toc26008"/>
      <w:bookmarkStart w:id="66" w:name="_Toc28089"/>
      <w:bookmarkStart w:id="67" w:name="_Toc30130"/>
      <w:r>
        <w:rPr>
          <w:rFonts w:hint="eastAsia" w:ascii="Times New Roman" w:hAnsi="Times New Roman" w:eastAsia="楷体" w:cs="楷体"/>
          <w:color w:val="auto"/>
        </w:rPr>
        <w:t>（一）加强组织领导</w:t>
      </w:r>
      <w:bookmarkEnd w:id="65"/>
      <w:bookmarkEnd w:id="66"/>
      <w:bookmarkEnd w:id="67"/>
    </w:p>
    <w:p>
      <w:pPr>
        <w:ind w:firstLine="640" w:firstLineChars="200"/>
        <w:rPr>
          <w:rFonts w:ascii="仿宋" w:hAnsi="仿宋" w:eastAsia="仿宋" w:cs="仿宋"/>
          <w:color w:val="auto"/>
          <w:sz w:val="32"/>
          <w:szCs w:val="32"/>
          <w:lang w:val="zh-CN"/>
        </w:rPr>
      </w:pPr>
      <w:r>
        <w:rPr>
          <w:rFonts w:hint="eastAsia" w:ascii="仿宋" w:hAnsi="仿宋" w:eastAsia="仿宋" w:cs="仿宋"/>
          <w:color w:val="auto"/>
          <w:sz w:val="32"/>
          <w:szCs w:val="32"/>
          <w:lang w:val="zh-CN"/>
        </w:rPr>
        <w:t>储气设施建设是我区天然气产供储销体系建设的重要环节。在自治区人民政府领导下，按照《广西壮族自治区人民政府办公厅关于印发广西天然气产供储销体系建设实施方案的通知》（桂政办电〔</w:t>
      </w:r>
      <w:r>
        <w:rPr>
          <w:rFonts w:hint="eastAsia" w:ascii="仿宋" w:hAnsi="仿宋" w:eastAsia="仿宋" w:cs="仿宋"/>
          <w:color w:val="auto"/>
          <w:sz w:val="32"/>
          <w:szCs w:val="32"/>
        </w:rPr>
        <w:t>2018</w:t>
      </w:r>
      <w:r>
        <w:rPr>
          <w:rFonts w:hint="eastAsia" w:ascii="仿宋" w:hAnsi="仿宋" w:eastAsia="仿宋" w:cs="仿宋"/>
          <w:color w:val="auto"/>
          <w:sz w:val="32"/>
          <w:szCs w:val="32"/>
          <w:lang w:val="zh-CN"/>
        </w:rPr>
        <w:t>〕</w:t>
      </w:r>
      <w:r>
        <w:rPr>
          <w:rFonts w:hint="eastAsia" w:ascii="仿宋" w:hAnsi="仿宋" w:eastAsia="仿宋" w:cs="仿宋"/>
          <w:color w:val="auto"/>
          <w:sz w:val="32"/>
          <w:szCs w:val="32"/>
        </w:rPr>
        <w:t>148号）建立的协调机制</w:t>
      </w:r>
      <w:r>
        <w:rPr>
          <w:rFonts w:hint="eastAsia" w:ascii="仿宋" w:hAnsi="仿宋" w:eastAsia="仿宋" w:cs="仿宋"/>
          <w:color w:val="auto"/>
          <w:sz w:val="32"/>
          <w:szCs w:val="32"/>
          <w:lang w:val="zh-CN"/>
        </w:rPr>
        <w:t>指导全区储气设施、配套管道及接收站等基础设施规划建设工作。自治区各相关部门根据职责分工</w:t>
      </w:r>
      <w:r>
        <w:rPr>
          <w:rFonts w:hint="eastAsia" w:ascii="仿宋" w:hAnsi="仿宋" w:eastAsia="仿宋" w:cs="仿宋"/>
          <w:color w:val="auto"/>
          <w:sz w:val="32"/>
          <w:szCs w:val="32"/>
        </w:rPr>
        <w:t>制定和完善相关配套政策措施，</w:t>
      </w:r>
      <w:r>
        <w:rPr>
          <w:rFonts w:hint="eastAsia" w:ascii="仿宋" w:hAnsi="仿宋" w:eastAsia="仿宋" w:cs="仿宋"/>
          <w:color w:val="auto"/>
          <w:sz w:val="32"/>
          <w:szCs w:val="32"/>
          <w:lang w:val="zh-CN"/>
        </w:rPr>
        <w:t>共同做好全区储气设施规划布局、项目审批、监督管理、安全运行、供应保障等各个环节的工作，确保完成储气能力建设要求。设区市人民政府对辖区内储气设施建设承担主体责任，要建立本区域内天然气产供储销体系建设工作机制，参照自治区级分工，确定牵头部门、配合部门和责任人，切实落实辖区储气设施建设任务。</w:t>
      </w:r>
    </w:p>
    <w:p>
      <w:pPr>
        <w:pStyle w:val="3"/>
        <w:spacing w:before="0" w:after="0" w:line="240" w:lineRule="auto"/>
        <w:ind w:left="643"/>
        <w:rPr>
          <w:rFonts w:ascii="Times New Roman" w:hAnsi="Times New Roman" w:eastAsia="楷体" w:cs="楷体"/>
          <w:color w:val="auto"/>
        </w:rPr>
      </w:pPr>
      <w:bookmarkStart w:id="68" w:name="_Toc20872"/>
      <w:bookmarkStart w:id="69" w:name="_Toc12450"/>
      <w:bookmarkStart w:id="70" w:name="_Toc13168"/>
      <w:r>
        <w:rPr>
          <w:rFonts w:hint="eastAsia" w:ascii="Times New Roman" w:hAnsi="Times New Roman" w:eastAsia="楷体" w:cs="楷体"/>
          <w:color w:val="auto"/>
        </w:rPr>
        <w:t>（二）明确责任分工</w:t>
      </w:r>
      <w:bookmarkEnd w:id="68"/>
      <w:bookmarkEnd w:id="69"/>
      <w:bookmarkEnd w:id="70"/>
    </w:p>
    <w:p>
      <w:pPr>
        <w:ind w:firstLine="640" w:firstLineChars="200"/>
        <w:rPr>
          <w:rFonts w:ascii="Times New Roman" w:hAnsi="Times New Roman" w:eastAsia="仿宋_GB2312"/>
          <w:color w:val="auto"/>
          <w:sz w:val="32"/>
        </w:rPr>
      </w:pPr>
      <w:r>
        <w:rPr>
          <w:rFonts w:hint="eastAsia" w:ascii="仿宋" w:hAnsi="仿宋" w:eastAsia="仿宋" w:cs="仿宋"/>
          <w:color w:val="auto"/>
          <w:sz w:val="32"/>
          <w:szCs w:val="32"/>
        </w:rPr>
        <w:t>各级人民政府和有关企业</w:t>
      </w:r>
      <w:r>
        <w:rPr>
          <w:rFonts w:hint="eastAsia" w:ascii="仿宋" w:hAnsi="仿宋" w:eastAsia="仿宋" w:cs="仿宋"/>
          <w:color w:val="auto"/>
          <w:sz w:val="32"/>
          <w:szCs w:val="32"/>
          <w:lang w:val="zh-CN"/>
        </w:rPr>
        <w:t>严格履行</w:t>
      </w:r>
      <w:r>
        <w:rPr>
          <w:rFonts w:hint="eastAsia" w:ascii="仿宋" w:hAnsi="仿宋" w:eastAsia="仿宋" w:cs="仿宋"/>
          <w:color w:val="auto"/>
          <w:sz w:val="32"/>
        </w:rPr>
        <w:t>《国家发展改革委</w:t>
      </w:r>
      <w:r>
        <w:rPr>
          <w:rFonts w:hint="eastAsia" w:ascii="仿宋" w:hAnsi="仿宋" w:eastAsia="仿宋" w:cs="仿宋"/>
          <w:color w:val="auto"/>
          <w:sz w:val="32"/>
          <w:lang w:val="en-US" w:eastAsia="zh-CN"/>
        </w:rPr>
        <w:t xml:space="preserve"> </w:t>
      </w:r>
      <w:r>
        <w:rPr>
          <w:rFonts w:hint="eastAsia" w:ascii="仿宋" w:hAnsi="仿宋" w:eastAsia="仿宋" w:cs="仿宋"/>
          <w:color w:val="auto"/>
          <w:sz w:val="32"/>
        </w:rPr>
        <w:t>国家能源局</w:t>
      </w:r>
      <w:r>
        <w:rPr>
          <w:rFonts w:hint="eastAsia" w:ascii="仿宋" w:hAnsi="仿宋" w:eastAsia="仿宋" w:cs="仿宋"/>
          <w:color w:val="auto"/>
          <w:sz w:val="32"/>
          <w:lang w:eastAsia="zh-CN"/>
        </w:rPr>
        <w:t>印发〈</w:t>
      </w:r>
      <w:r>
        <w:rPr>
          <w:rFonts w:hint="eastAsia" w:ascii="仿宋" w:hAnsi="仿宋" w:eastAsia="仿宋" w:cs="仿宋"/>
          <w:color w:val="auto"/>
          <w:sz w:val="32"/>
        </w:rPr>
        <w:t>关于加快储气设施建设和完善储气调峰辅助服务市场机制的意见</w:t>
      </w:r>
      <w:r>
        <w:rPr>
          <w:rFonts w:hint="eastAsia" w:ascii="仿宋" w:hAnsi="仿宋" w:eastAsia="仿宋" w:cs="仿宋"/>
          <w:color w:val="auto"/>
          <w:sz w:val="32"/>
          <w:lang w:eastAsia="zh-CN"/>
        </w:rPr>
        <w:t>〉的通知</w:t>
      </w:r>
      <w:r>
        <w:rPr>
          <w:rFonts w:hint="eastAsia" w:ascii="仿宋" w:hAnsi="仿宋" w:eastAsia="仿宋" w:cs="仿宋"/>
          <w:color w:val="auto"/>
          <w:sz w:val="32"/>
        </w:rPr>
        <w:t>》（发改能源规〔2018〕637号）</w:t>
      </w:r>
      <w:r>
        <w:rPr>
          <w:rFonts w:hint="eastAsia" w:ascii="仿宋" w:hAnsi="仿宋" w:eastAsia="仿宋" w:cs="仿宋"/>
          <w:color w:val="auto"/>
          <w:sz w:val="32"/>
          <w:szCs w:val="32"/>
        </w:rPr>
        <w:t>、</w:t>
      </w:r>
      <w:r>
        <w:rPr>
          <w:rFonts w:hint="eastAsia" w:ascii="仿宋" w:hAnsi="仿宋" w:eastAsia="仿宋" w:cs="仿宋"/>
          <w:color w:val="auto"/>
          <w:sz w:val="32"/>
        </w:rPr>
        <w:t>《天然气基础设施建设与运营管理办法》</w:t>
      </w:r>
      <w:r>
        <w:rPr>
          <w:rFonts w:hint="eastAsia" w:ascii="仿宋" w:hAnsi="仿宋" w:eastAsia="仿宋" w:cs="仿宋"/>
          <w:color w:val="auto"/>
          <w:sz w:val="32"/>
          <w:szCs w:val="32"/>
          <w:lang w:val="zh-CN"/>
        </w:rPr>
        <w:t>（发展改革委令第8号）</w:t>
      </w:r>
      <w:r>
        <w:rPr>
          <w:rFonts w:hint="eastAsia" w:ascii="仿宋" w:hAnsi="仿宋" w:eastAsia="仿宋" w:cs="仿宋"/>
          <w:color w:val="auto"/>
          <w:sz w:val="32"/>
          <w:szCs w:val="32"/>
        </w:rPr>
        <w:t>所明确的责任。</w:t>
      </w:r>
      <w:r>
        <w:rPr>
          <w:rFonts w:hint="eastAsia" w:ascii="仿宋" w:hAnsi="仿宋" w:eastAsia="仿宋" w:cs="仿宋"/>
          <w:color w:val="auto"/>
          <w:sz w:val="32"/>
          <w:szCs w:val="32"/>
          <w:lang w:val="zh-CN"/>
        </w:rPr>
        <w:t>自治区发展改革委统筹规划，指导督促各设区市参与建设日均3天用气量储气设施。自治区住房城乡建设厅负责督促城镇燃气企业建设年用气量5%储气设施。各设区市督促辖区城镇燃气企业完成储气能力建设任务</w:t>
      </w:r>
      <w:r>
        <w:rPr>
          <w:rFonts w:hint="eastAsia" w:ascii="仿宋" w:hAnsi="仿宋" w:eastAsia="仿宋" w:cs="仿宋"/>
          <w:color w:val="auto"/>
          <w:sz w:val="32"/>
        </w:rPr>
        <w:t>。</w:t>
      </w:r>
      <w:r>
        <w:rPr>
          <w:rFonts w:hint="eastAsia" w:ascii="仿宋" w:hAnsi="仿宋" w:eastAsia="仿宋" w:cs="仿宋"/>
          <w:color w:val="auto"/>
          <w:sz w:val="32"/>
          <w:szCs w:val="32"/>
          <w:lang w:val="zh-CN"/>
        </w:rPr>
        <w:t>承担储气设施建设任务的企业应积极开展相关工作，确保储气设施项目建设规模和建设进度达标。</w:t>
      </w:r>
    </w:p>
    <w:p>
      <w:pPr>
        <w:pStyle w:val="3"/>
        <w:spacing w:before="0" w:after="0" w:line="240" w:lineRule="auto"/>
        <w:ind w:left="643"/>
        <w:rPr>
          <w:rFonts w:ascii="Times New Roman" w:hAnsi="Times New Roman" w:eastAsia="楷体" w:cs="楷体"/>
          <w:color w:val="auto"/>
        </w:rPr>
      </w:pPr>
      <w:bookmarkStart w:id="71" w:name="_Toc16029"/>
      <w:bookmarkStart w:id="72" w:name="_Toc21658"/>
      <w:bookmarkStart w:id="73" w:name="_Toc24252"/>
      <w:r>
        <w:rPr>
          <w:rFonts w:hint="eastAsia" w:ascii="Times New Roman" w:hAnsi="Times New Roman" w:eastAsia="楷体" w:cs="楷体"/>
          <w:color w:val="auto"/>
        </w:rPr>
        <w:t>（三）加快推进项目建设</w:t>
      </w:r>
      <w:bookmarkEnd w:id="71"/>
      <w:bookmarkEnd w:id="72"/>
      <w:bookmarkEnd w:id="73"/>
    </w:p>
    <w:p>
      <w:pPr>
        <w:ind w:firstLine="640" w:firstLineChars="200"/>
        <w:rPr>
          <w:rFonts w:ascii="仿宋" w:hAnsi="仿宋" w:eastAsia="仿宋" w:cs="仿宋"/>
          <w:color w:val="auto"/>
          <w:sz w:val="32"/>
          <w:szCs w:val="32"/>
          <w:lang w:val="zh-CN"/>
        </w:rPr>
      </w:pPr>
      <w:r>
        <w:rPr>
          <w:rFonts w:hint="eastAsia" w:ascii="仿宋" w:hAnsi="仿宋" w:eastAsia="仿宋" w:cs="仿宋"/>
          <w:color w:val="auto"/>
          <w:sz w:val="32"/>
          <w:szCs w:val="32"/>
        </w:rPr>
        <w:t>各设区市人民政府应将天然气储气调峰设施项目纳入本级规划体系，</w:t>
      </w:r>
      <w:r>
        <w:rPr>
          <w:rFonts w:hint="eastAsia" w:ascii="仿宋" w:hAnsi="仿宋" w:eastAsia="仿宋" w:cs="仿宋"/>
          <w:color w:val="auto"/>
          <w:sz w:val="32"/>
          <w:szCs w:val="32"/>
          <w:lang w:eastAsia="zh-CN"/>
        </w:rPr>
        <w:t>优化项目选址，</w:t>
      </w:r>
      <w:r>
        <w:rPr>
          <w:rFonts w:hint="eastAsia" w:ascii="仿宋" w:hAnsi="仿宋" w:eastAsia="仿宋" w:cs="仿宋"/>
          <w:color w:val="auto"/>
          <w:sz w:val="32"/>
          <w:szCs w:val="32"/>
        </w:rPr>
        <w:t>做好与</w:t>
      </w:r>
      <w:r>
        <w:rPr>
          <w:rFonts w:hint="eastAsia" w:ascii="仿宋" w:hAnsi="仿宋" w:eastAsia="仿宋" w:cs="仿宋"/>
          <w:color w:val="auto"/>
          <w:sz w:val="32"/>
          <w:szCs w:val="32"/>
          <w:lang w:eastAsia="zh-CN"/>
        </w:rPr>
        <w:t>国土空间规划、国家LNG码头布局规划、沿海港口规划、林地保护利用规划、旅游规划等有关专项</w:t>
      </w:r>
      <w:r>
        <w:rPr>
          <w:rFonts w:hint="eastAsia" w:ascii="仿宋" w:hAnsi="仿宋" w:eastAsia="仿宋" w:cs="仿宋"/>
          <w:color w:val="auto"/>
          <w:sz w:val="32"/>
          <w:szCs w:val="32"/>
        </w:rPr>
        <w:t>规划的衔接。各级投资主管部门要依法优化审批程序，</w:t>
      </w:r>
      <w:r>
        <w:rPr>
          <w:rFonts w:hint="eastAsia" w:ascii="仿宋" w:hAnsi="仿宋" w:eastAsia="仿宋" w:cs="仿宋"/>
          <w:color w:val="auto"/>
          <w:sz w:val="32"/>
          <w:szCs w:val="32"/>
          <w:lang w:val="zh-CN"/>
        </w:rPr>
        <w:t>促进相关工程尽快核准开工建设。积极争取中央财政支持，鼓励地方政府和企业在防范风险基础上创新合作机制和投融资模式，鼓励储气设施集约运营、合建共用。各项目单位应加大储气</w:t>
      </w:r>
      <w:r>
        <w:rPr>
          <w:rFonts w:hint="eastAsia" w:ascii="仿宋" w:hAnsi="仿宋" w:eastAsia="仿宋" w:cs="仿宋"/>
          <w:color w:val="auto"/>
          <w:sz w:val="32"/>
          <w:szCs w:val="32"/>
        </w:rPr>
        <w:t>调峰</w:t>
      </w:r>
      <w:r>
        <w:rPr>
          <w:rFonts w:hint="eastAsia" w:ascii="仿宋" w:hAnsi="仿宋" w:eastAsia="仿宋" w:cs="仿宋"/>
          <w:color w:val="auto"/>
          <w:sz w:val="32"/>
          <w:szCs w:val="32"/>
          <w:lang w:val="zh-CN"/>
        </w:rPr>
        <w:t>设施建设力度，鼓励其他社会资本参与各级储气设施和管道建设。</w:t>
      </w:r>
    </w:p>
    <w:p>
      <w:pPr>
        <w:pStyle w:val="3"/>
        <w:spacing w:before="0" w:after="0" w:line="240" w:lineRule="auto"/>
        <w:ind w:left="643"/>
        <w:rPr>
          <w:rFonts w:ascii="Times New Roman" w:hAnsi="Times New Roman" w:eastAsia="楷体" w:cs="楷体"/>
          <w:color w:val="auto"/>
        </w:rPr>
      </w:pPr>
      <w:bookmarkStart w:id="74" w:name="_Toc1758"/>
      <w:bookmarkStart w:id="75" w:name="_Toc11681"/>
      <w:bookmarkStart w:id="76" w:name="_Toc25188"/>
      <w:r>
        <w:rPr>
          <w:rFonts w:hint="eastAsia" w:ascii="Times New Roman" w:hAnsi="Times New Roman" w:eastAsia="楷体" w:cs="楷体"/>
          <w:color w:val="auto"/>
        </w:rPr>
        <w:t>（四）加强运营管理协调</w:t>
      </w:r>
      <w:bookmarkEnd w:id="74"/>
      <w:bookmarkEnd w:id="75"/>
      <w:bookmarkEnd w:id="76"/>
    </w:p>
    <w:p>
      <w:pPr>
        <w:ind w:firstLine="640" w:firstLineChars="200"/>
        <w:rPr>
          <w:rFonts w:ascii="Times New Roman" w:hAnsi="Times New Roman" w:eastAsia="仿宋" w:cs="仿宋"/>
          <w:color w:val="auto"/>
          <w:sz w:val="32"/>
          <w:szCs w:val="32"/>
          <w:lang w:val="zh-CN"/>
        </w:rPr>
      </w:pPr>
      <w:r>
        <w:rPr>
          <w:rFonts w:hint="eastAsia" w:ascii="仿宋" w:hAnsi="仿宋" w:eastAsia="仿宋" w:cs="仿宋"/>
          <w:color w:val="auto"/>
          <w:sz w:val="32"/>
          <w:szCs w:val="32"/>
        </w:rPr>
        <w:t>各级人民政府相关部门要加强协调解决已建成的储气设施正常运营的关键性问题，</w:t>
      </w:r>
      <w:r>
        <w:rPr>
          <w:rFonts w:hint="eastAsia" w:ascii="仿宋" w:hAnsi="仿宋" w:eastAsia="仿宋" w:cs="仿宋"/>
          <w:color w:val="auto"/>
          <w:sz w:val="32"/>
          <w:szCs w:val="32"/>
          <w:lang w:val="zh-CN"/>
        </w:rPr>
        <w:t>加快明确储气设施相关价格政策。严格执行输气管道等天然气基础设施公平开放要求，各管道企业要优先满足储气设施对管网的接入需求，与储气设施相连的管道要优先安排施工，</w:t>
      </w:r>
      <w:r>
        <w:rPr>
          <w:rFonts w:hint="eastAsia" w:ascii="仿宋" w:hAnsi="仿宋" w:eastAsia="仿宋" w:cs="仿宋"/>
          <w:color w:val="auto"/>
          <w:sz w:val="32"/>
          <w:szCs w:val="32"/>
        </w:rPr>
        <w:t>确保储气设施有气可储、有气可输、有气可销</w:t>
      </w:r>
      <w:r>
        <w:rPr>
          <w:rFonts w:hint="eastAsia" w:ascii="仿宋" w:hAnsi="仿宋" w:eastAsia="仿宋" w:cs="仿宋"/>
          <w:color w:val="auto"/>
          <w:sz w:val="32"/>
          <w:szCs w:val="32"/>
          <w:lang w:val="zh-CN"/>
        </w:rPr>
        <w:t>，增强企业建设储气设施积极性。</w:t>
      </w:r>
    </w:p>
    <w:p>
      <w:pPr>
        <w:pStyle w:val="3"/>
        <w:spacing w:before="0" w:after="0" w:line="240" w:lineRule="auto"/>
        <w:ind w:left="643"/>
        <w:rPr>
          <w:rFonts w:ascii="Times New Roman" w:hAnsi="Times New Roman" w:eastAsia="楷体" w:cs="楷体"/>
          <w:color w:val="auto"/>
        </w:rPr>
      </w:pPr>
      <w:bookmarkStart w:id="77" w:name="_Toc29354"/>
      <w:bookmarkStart w:id="78" w:name="_Toc31984"/>
      <w:bookmarkStart w:id="79" w:name="_Toc18836"/>
      <w:r>
        <w:rPr>
          <w:rFonts w:hint="eastAsia" w:ascii="Times New Roman" w:hAnsi="Times New Roman" w:eastAsia="楷体" w:cs="楷体"/>
          <w:color w:val="auto"/>
        </w:rPr>
        <w:t>（五）加强监督落实</w:t>
      </w:r>
      <w:bookmarkEnd w:id="77"/>
      <w:bookmarkEnd w:id="78"/>
      <w:bookmarkEnd w:id="79"/>
    </w:p>
    <w:p>
      <w:pPr>
        <w:ind w:firstLine="640" w:firstLineChars="200"/>
        <w:rPr>
          <w:rFonts w:ascii="Times New Roman" w:hAnsi="Times New Roman"/>
          <w:color w:val="auto"/>
        </w:rPr>
      </w:pPr>
      <w:r>
        <w:rPr>
          <w:rFonts w:hint="eastAsia" w:ascii="Times New Roman" w:hAnsi="Times New Roman" w:eastAsia="仿宋" w:cs="仿宋"/>
          <w:color w:val="auto"/>
          <w:sz w:val="32"/>
          <w:szCs w:val="32"/>
          <w:lang w:val="zh-CN"/>
        </w:rPr>
        <w:t>自治区发展改革委、住房城乡建设厅等根据工作分工对天然气储气设施建设进行监管和督查，对各设区市储气设施建设情况、建设方案制定</w:t>
      </w:r>
      <w:r>
        <w:rPr>
          <w:rFonts w:hint="eastAsia" w:ascii="Times New Roman" w:hAnsi="Times New Roman" w:eastAsia="仿宋" w:cs="仿宋"/>
          <w:color w:val="auto"/>
          <w:sz w:val="32"/>
          <w:szCs w:val="32"/>
          <w:highlight w:val="none"/>
          <w:lang w:val="zh-CN"/>
        </w:rPr>
        <w:t>情况、协议</w:t>
      </w:r>
      <w:r>
        <w:rPr>
          <w:rFonts w:hint="eastAsia" w:ascii="Times New Roman" w:hAnsi="Times New Roman" w:eastAsia="仿宋" w:cs="仿宋"/>
          <w:color w:val="auto"/>
          <w:sz w:val="32"/>
          <w:szCs w:val="32"/>
          <w:lang w:val="zh-CN"/>
        </w:rPr>
        <w:t>签订情况、重要配套气源和管网设施建设情况等进行定期通报。对落实工作不到位、工作未如期开展、建设进展缓慢的地市、部门、企业及相关责任人视情约谈。对未能按照规定建设储气设施履行储备调峰责任、出现较大范围恶意停供民生用气的企业，根据情形纳入石油天然气行业失信名单，对严重违法失信行为依法实施联合惩戒。</w:t>
      </w:r>
    </w:p>
    <w:p>
      <w:pPr>
        <w:rPr>
          <w:rFonts w:ascii="Times New Roman" w:hAnsi="Times New Roman"/>
          <w:color w:val="auto"/>
        </w:rPr>
        <w:sectPr>
          <w:footerReference r:id="rId5" w:type="default"/>
          <w:pgSz w:w="11906" w:h="16838"/>
          <w:pgMar w:top="1440" w:right="1800" w:bottom="1440" w:left="1800" w:header="851" w:footer="992" w:gutter="0"/>
          <w:pgNumType w:start="1"/>
          <w:cols w:space="720" w:num="1"/>
          <w:docGrid w:type="lines" w:linePitch="312" w:charSpace="0"/>
        </w:sectPr>
      </w:pPr>
    </w:p>
    <w:p>
      <w:pPr>
        <w:pStyle w:val="2"/>
        <w:spacing w:before="0" w:after="0" w:line="240" w:lineRule="auto"/>
        <w:rPr>
          <w:rFonts w:ascii="Times New Roman" w:hAnsi="Times New Roman" w:eastAsia="黑体" w:cs="黑体"/>
          <w:b w:val="0"/>
          <w:color w:val="auto"/>
          <w:sz w:val="32"/>
          <w:szCs w:val="32"/>
        </w:rPr>
      </w:pPr>
      <w:bookmarkStart w:id="80" w:name="_Toc25121"/>
      <w:bookmarkStart w:id="81" w:name="_Toc6353"/>
      <w:bookmarkStart w:id="82" w:name="_Toc1753"/>
      <w:r>
        <w:rPr>
          <w:rFonts w:hint="eastAsia" w:ascii="Times New Roman" w:hAnsi="Times New Roman" w:eastAsia="黑体" w:cs="黑体"/>
          <w:b w:val="0"/>
          <w:color w:val="auto"/>
          <w:sz w:val="32"/>
          <w:szCs w:val="32"/>
        </w:rPr>
        <w:t>附件</w:t>
      </w:r>
      <w:bookmarkEnd w:id="80"/>
      <w:bookmarkEnd w:id="81"/>
      <w:bookmarkEnd w:id="82"/>
    </w:p>
    <w:p>
      <w:pPr>
        <w:jc w:val="center"/>
        <w:rPr>
          <w:rFonts w:ascii="Times New Roman" w:hAnsi="Times New Roman"/>
          <w:color w:val="auto"/>
        </w:rPr>
      </w:pPr>
      <w:r>
        <w:rPr>
          <w:rFonts w:ascii="Times New Roman" w:hAnsi="Times New Roman"/>
          <w:color w:val="auto"/>
        </w:rPr>
        <w:drawing>
          <wp:inline distT="0" distB="0" distL="114300" distR="114300">
            <wp:extent cx="5689600" cy="8562975"/>
            <wp:effectExtent l="0" t="0" r="9525" b="6350"/>
            <wp:docPr id="2" name="图片 1" descr="E:\work\研究专题\储气专项规划\报告\图\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work\研究专题\储气专项规划\报告\图\2018.jpg"/>
                    <pic:cNvPicPr>
                      <a:picLocks noChangeAspect="1"/>
                    </pic:cNvPicPr>
                  </pic:nvPicPr>
                  <pic:blipFill>
                    <a:blip r:embed="rId8"/>
                    <a:srcRect l="4588" r="2916" b="1453"/>
                    <a:stretch>
                      <a:fillRect/>
                    </a:stretch>
                  </pic:blipFill>
                  <pic:spPr>
                    <a:xfrm rot="-5400000">
                      <a:off x="0" y="0"/>
                      <a:ext cx="5689600" cy="8562975"/>
                    </a:xfrm>
                    <a:prstGeom prst="rect">
                      <a:avLst/>
                    </a:prstGeom>
                    <a:noFill/>
                    <a:ln>
                      <a:noFill/>
                    </a:ln>
                  </pic:spPr>
                </pic:pic>
              </a:graphicData>
            </a:graphic>
          </wp:inline>
        </w:drawing>
      </w:r>
    </w:p>
    <w:p>
      <w:pPr>
        <w:jc w:val="center"/>
        <w:rPr>
          <w:rFonts w:ascii="黑体" w:hAnsi="黑体" w:eastAsia="黑体" w:cs="仿宋_GB2312"/>
          <w:color w:val="auto"/>
          <w:sz w:val="28"/>
          <w:szCs w:val="30"/>
        </w:rPr>
      </w:pPr>
      <w:r>
        <w:rPr>
          <w:rFonts w:hint="eastAsia" w:ascii="黑体" w:hAnsi="黑体" w:eastAsia="黑体" w:cs="仿宋_GB2312"/>
          <w:color w:val="auto"/>
          <w:sz w:val="28"/>
          <w:szCs w:val="30"/>
        </w:rPr>
        <w:t>附图1 2018年广西天然气建设现状</w:t>
      </w:r>
    </w:p>
    <w:p>
      <w:pPr>
        <w:jc w:val="center"/>
        <w:rPr>
          <w:rFonts w:ascii="Times New Roman" w:hAnsi="Times New Roman"/>
          <w:color w:val="auto"/>
        </w:rPr>
      </w:pPr>
      <w:r>
        <w:rPr>
          <w:rFonts w:ascii="Times New Roman" w:hAnsi="Times New Roman"/>
          <w:color w:val="auto"/>
        </w:rPr>
        <w:drawing>
          <wp:inline distT="0" distB="0" distL="114300" distR="114300">
            <wp:extent cx="5900420" cy="8931910"/>
            <wp:effectExtent l="0" t="0" r="2540" b="5080"/>
            <wp:docPr id="3" name="图片 2" descr="E:\work\研究专题\储气专项规划\报告\图\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work\研究专题\储气专项规划\报告\图\2020.jpg"/>
                    <pic:cNvPicPr>
                      <a:picLocks noChangeAspect="1"/>
                    </pic:cNvPicPr>
                  </pic:nvPicPr>
                  <pic:blipFill>
                    <a:blip r:embed="rId9"/>
                    <a:srcRect l="4666" t="1212" r="4254" b="1183"/>
                    <a:stretch>
                      <a:fillRect/>
                    </a:stretch>
                  </pic:blipFill>
                  <pic:spPr>
                    <a:xfrm rot="-5400000">
                      <a:off x="0" y="0"/>
                      <a:ext cx="5900420" cy="8931910"/>
                    </a:xfrm>
                    <a:prstGeom prst="rect">
                      <a:avLst/>
                    </a:prstGeom>
                    <a:noFill/>
                    <a:ln>
                      <a:noFill/>
                    </a:ln>
                  </pic:spPr>
                </pic:pic>
              </a:graphicData>
            </a:graphic>
          </wp:inline>
        </w:drawing>
      </w:r>
    </w:p>
    <w:p>
      <w:pPr>
        <w:jc w:val="center"/>
        <w:rPr>
          <w:rFonts w:ascii="黑体" w:hAnsi="黑体" w:eastAsia="黑体" w:cs="仿宋_GB2312"/>
          <w:color w:val="auto"/>
          <w:sz w:val="28"/>
          <w:szCs w:val="30"/>
        </w:rPr>
      </w:pPr>
      <w:r>
        <w:rPr>
          <w:rFonts w:hint="eastAsia" w:ascii="黑体" w:hAnsi="黑体" w:eastAsia="黑体" w:cs="仿宋_GB2312"/>
          <w:color w:val="auto"/>
          <w:sz w:val="28"/>
          <w:szCs w:val="30"/>
        </w:rPr>
        <w:t>附图2</w:t>
      </w:r>
      <w:r>
        <w:rPr>
          <w:rFonts w:ascii="黑体" w:hAnsi="黑体" w:eastAsia="黑体" w:cs="仿宋_GB2312"/>
          <w:color w:val="auto"/>
          <w:sz w:val="28"/>
          <w:szCs w:val="30"/>
        </w:rPr>
        <w:t xml:space="preserve"> </w:t>
      </w:r>
      <w:r>
        <w:rPr>
          <w:rFonts w:hint="eastAsia" w:ascii="黑体" w:hAnsi="黑体" w:eastAsia="黑体" w:cs="仿宋_GB2312"/>
          <w:color w:val="auto"/>
          <w:sz w:val="28"/>
          <w:szCs w:val="30"/>
        </w:rPr>
        <w:t>2020年广西天然气建设规划</w:t>
      </w:r>
    </w:p>
    <w:p>
      <w:pPr>
        <w:jc w:val="center"/>
        <w:rPr>
          <w:rFonts w:ascii="Times New Roman" w:hAnsi="Times New Roman"/>
          <w:color w:val="auto"/>
        </w:rPr>
      </w:pPr>
    </w:p>
    <w:p>
      <w:pPr>
        <w:jc w:val="center"/>
        <w:rPr>
          <w:rFonts w:ascii="Times New Roman" w:hAnsi="Times New Roman"/>
          <w:color w:val="auto"/>
        </w:rPr>
      </w:pPr>
      <w:ins w:id="0" w:author="能源局" w:date="2019-10-11T08:50:00Z">
        <w:r>
          <w:rPr>
            <w:rFonts w:ascii="Times New Roman" w:hAnsi="Times New Roman"/>
            <w:color w:val="auto"/>
          </w:rPr>
          <w:drawing>
            <wp:inline distT="0" distB="0" distL="114300" distR="114300">
              <wp:extent cx="9110980" cy="6003925"/>
              <wp:effectExtent l="0" t="0" r="13970" b="15875"/>
              <wp:docPr id="4" name="图片 3" descr="2025（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25（改）"/>
                      <pic:cNvPicPr>
                        <a:picLocks noChangeAspect="1"/>
                      </pic:cNvPicPr>
                    </pic:nvPicPr>
                    <pic:blipFill>
                      <a:blip r:embed="rId10"/>
                      <a:srcRect t="3253" b="3549"/>
                      <a:stretch>
                        <a:fillRect/>
                      </a:stretch>
                    </pic:blipFill>
                    <pic:spPr>
                      <a:xfrm>
                        <a:off x="0" y="0"/>
                        <a:ext cx="9110980" cy="6003925"/>
                      </a:xfrm>
                      <a:prstGeom prst="rect">
                        <a:avLst/>
                      </a:prstGeom>
                      <a:noFill/>
                      <a:ln>
                        <a:noFill/>
                      </a:ln>
                    </pic:spPr>
                  </pic:pic>
                </a:graphicData>
              </a:graphic>
            </wp:inline>
          </w:drawing>
        </w:r>
      </w:ins>
    </w:p>
    <w:p>
      <w:pPr>
        <w:jc w:val="center"/>
        <w:rPr>
          <w:rFonts w:hint="eastAsia" w:ascii="黑体" w:hAnsi="黑体" w:eastAsia="黑体" w:cs="仿宋_GB2312"/>
          <w:color w:val="auto"/>
          <w:sz w:val="28"/>
          <w:szCs w:val="30"/>
        </w:rPr>
      </w:pPr>
      <w:r>
        <w:rPr>
          <w:rFonts w:hint="eastAsia" w:ascii="黑体" w:hAnsi="黑体" w:eastAsia="黑体" w:cs="仿宋_GB2312"/>
          <w:color w:val="auto"/>
          <w:sz w:val="28"/>
          <w:szCs w:val="30"/>
        </w:rPr>
        <w:t>附图3 2025年广西天然气建设规划</w:t>
      </w:r>
    </w:p>
    <w:p>
      <w:bookmarkStart w:id="83" w:name="_GoBack"/>
      <w:bookmarkEnd w:id="83"/>
    </w:p>
    <w:sectPr>
      <w:footerReference r:id="rId6" w:type="default"/>
      <w:pgSz w:w="16838" w:h="11906" w:orient="landscape"/>
      <w:pgMar w:top="720" w:right="720" w:bottom="720" w:left="720" w:header="851"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0000000000000000000"/>
    <w:charset w:val="00"/>
    <w:family w:val="auto"/>
    <w:pitch w:val="default"/>
    <w:sig w:usb0="00000000" w:usb1="00000000" w:usb2="00000000" w:usb3="00000000" w:csb0="00040001" w:csb1="00000000"/>
  </w:font>
  <w:font w:name="等线 Light">
    <w:altName w:val="宋体"/>
    <w:panose1 w:val="00000000000000000000"/>
    <w:charset w:val="00"/>
    <w:family w:val="auto"/>
    <w:pitch w:val="default"/>
    <w:sig w:usb0="00000000" w:usb1="00000000" w:usb2="00000000" w:usb3="00000000" w:csb0="00040001" w:csb1="00000000"/>
  </w:font>
  <w:font w:name="仿宋">
    <w:panose1 w:val="02010609060101010101"/>
    <w:charset w:val="7A"/>
    <w:family w:val="modern"/>
    <w:pitch w:val="default"/>
    <w:sig w:usb0="800002BF" w:usb1="38CF7CFA" w:usb2="00000016" w:usb3="00000000" w:csb0="00040001" w:csb1="00000000"/>
  </w:font>
  <w:font w:name="楷体">
    <w:panose1 w:val="02010609060101010101"/>
    <w:charset w:val="7A"/>
    <w:family w:val="modern"/>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cs="Times New Roman"/>
      </w:rP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cs="Times New Roman"/>
      </w:rPr>
    </w:pP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cs="Times New Roman"/>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jc w:val="center"/>
                            <w:rPr>
                              <w:rFonts w:ascii="Times New Roman" w:hAnsi="Times New Roman" w:cs="Times New Roman"/>
                            </w:rPr>
                          </w:pPr>
                          <w:r>
                            <w:rPr>
                              <w:rFonts w:ascii="Times New Roman" w:hAnsi="Times New Roman" w:cs="Times New Roma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14</w:t>
                          </w:r>
                          <w:r>
                            <w:rPr>
                              <w:rFonts w:ascii="Times New Roman" w:hAnsi="Times New Roman" w:cs="Times New Roman"/>
                              <w:sz w:val="24"/>
                              <w:szCs w:val="24"/>
                            </w:rPr>
                            <w:fldChar w:fldCharType="end"/>
                          </w:r>
                          <w:r>
                            <w:rPr>
                              <w:rFonts w:ascii="Times New Roman" w:hAnsi="Times New Roman" w:cs="Times New Roman"/>
                            </w:rPr>
                            <w:t>-</w:t>
                          </w:r>
                        </w:p>
                        <w:p>
                          <w:pPr>
                            <w:rPr>
                              <w:rFonts w:ascii="Times New Roman" w:hAnsi="Times New Roman" w:cs="Times New Roman"/>
                            </w:rPr>
                          </w:pPr>
                        </w:p>
                      </w:txbxContent>
                    </wps:txbx>
                    <wps:bodyPr upright="1"/>
                  </wps:wsp>
                </a:graphicData>
              </a:graphic>
            </wp:anchor>
          </w:drawing>
        </mc:Choice>
        <mc:Fallback>
          <w:pict>
            <v:shape id="_x0000_s1026" o:spid="_x0000_s1026" o:spt="202" type="#_x0000_t202" style="position:absolute;left:0pt;margin-top:0pt;height:144pt;width:144pt;mso-position-horizontal:center;mso-position-horizontal-relative:margin;z-index:251658240;mso-width-relative:page;mso-height-relative:page;" filled="f" o:preferrelative="t" stroked="f" coordsize="21600,21600" o:gfxdata="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0GbbG0AAAAAUBAAAPAAAAAAAAAAEAIAAAACIAAABkcnMvZG93bnJldi54bWxQSwECFAAU&#10;AAAACACHTuJAZkrj7ocBAAABAwAADgAAAAAAAAABACAAAAAfAQAAZHJzL2Uyb0RvYy54bWxQSwUG&#10;AAAAAAYABgBZAQAAGAUAAAAA&#10;">
              <v:path/>
              <v:fill on="f" focussize="0,0"/>
              <v:stroke on="f"/>
              <v:imagedata o:title=""/>
              <o:lock v:ext="edit"/>
              <v:textbox>
                <w:txbxContent>
                  <w:p>
                    <w:pPr>
                      <w:pStyle w:val="4"/>
                      <w:jc w:val="center"/>
                      <w:rPr>
                        <w:rFonts w:ascii="Times New Roman" w:hAnsi="Times New Roman" w:cs="Times New Roman"/>
                      </w:rPr>
                    </w:pPr>
                    <w:r>
                      <w:rPr>
                        <w:rFonts w:ascii="Times New Roman" w:hAnsi="Times New Roman" w:cs="Times New Roma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14</w:t>
                    </w:r>
                    <w:r>
                      <w:rPr>
                        <w:rFonts w:ascii="Times New Roman" w:hAnsi="Times New Roman" w:cs="Times New Roman"/>
                        <w:sz w:val="24"/>
                        <w:szCs w:val="24"/>
                      </w:rPr>
                      <w:fldChar w:fldCharType="end"/>
                    </w:r>
                    <w:r>
                      <w:rPr>
                        <w:rFonts w:ascii="Times New Roman" w:hAnsi="Times New Roman" w:cs="Times New Roman"/>
                      </w:rPr>
                      <w:t>-</w:t>
                    </w:r>
                  </w:p>
                  <w:p>
                    <w:pPr>
                      <w:rPr>
                        <w:rFonts w:ascii="Times New Roman" w:hAnsi="Times New Roman" w:cs="Times New Roman"/>
                      </w:rPr>
                    </w:pPr>
                  </w:p>
                </w:txbxContent>
              </v:textbox>
            </v:shape>
          </w:pict>
        </mc:Fallback>
      </mc:AlternateContent>
    </w:r>
  </w:p>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jc w:val="center"/>
                            <w:rPr>
                              <w:rFonts w:ascii="Times New Roman" w:hAnsi="Times New Roman" w:cs="Times New Roman"/>
                            </w:rPr>
                          </w:pPr>
                          <w:r>
                            <w:rPr>
                              <w:rFonts w:ascii="Times New Roman" w:hAnsi="Times New Roman" w:cs="Times New Roman"/>
                            </w:rPr>
                            <w:t>-</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PAGE   \* MERGEFORMAT</w:instrText>
                          </w:r>
                          <w:r>
                            <w:rPr>
                              <w:rFonts w:hint="eastAsia" w:ascii="仿宋" w:hAnsi="仿宋" w:eastAsia="仿宋" w:cs="仿宋"/>
                              <w:sz w:val="24"/>
                              <w:szCs w:val="24"/>
                            </w:rPr>
                            <w:fldChar w:fldCharType="separate"/>
                          </w:r>
                          <w:r>
                            <w:rPr>
                              <w:rFonts w:ascii="仿宋" w:hAnsi="仿宋" w:eastAsia="仿宋" w:cs="仿宋"/>
                              <w:sz w:val="24"/>
                              <w:szCs w:val="24"/>
                              <w:lang w:val="zh-CN"/>
                            </w:rPr>
                            <w:t>17</w:t>
                          </w:r>
                          <w:r>
                            <w:rPr>
                              <w:rFonts w:hint="eastAsia" w:ascii="仿宋" w:hAnsi="仿宋" w:eastAsia="仿宋" w:cs="仿宋"/>
                              <w:sz w:val="24"/>
                              <w:szCs w:val="24"/>
                            </w:rPr>
                            <w:fldChar w:fldCharType="end"/>
                          </w:r>
                          <w:r>
                            <w:rPr>
                              <w:rFonts w:ascii="Times New Roman" w:hAnsi="Times New Roman" w:cs="Times New Roman"/>
                            </w:rPr>
                            <w:t>-</w:t>
                          </w:r>
                        </w:p>
                        <w:p>
                          <w:pPr>
                            <w:rPr>
                              <w:rFonts w:ascii="Times New Roman" w:hAnsi="Times New Roman" w:cs="Times New Roman"/>
                            </w:rPr>
                          </w:pPr>
                        </w:p>
                      </w:txbxContent>
                    </wps:txbx>
                    <wps:bodyPr upright="1"/>
                  </wps:wsp>
                </a:graphicData>
              </a:graphic>
            </wp:anchor>
          </w:drawing>
        </mc:Choice>
        <mc:Fallback>
          <w:pict>
            <v:shape id="_x0000_s1026" o:spid="_x0000_s1026" o:spt="202" type="#_x0000_t202" style="position:absolute;left:0pt;margin-top:0pt;height:144pt;width:144pt;mso-position-horizontal:center;mso-position-horizontal-relative:margin;z-index:251659264;mso-width-relative:page;mso-height-relative:page;" filled="f" o:preferrelative="t" stroked="f" coordsize="21600,21600" o:gfxdata="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NBm2xtAAAAAFAQAADwAAAAAAAAABACAAAAAiAAAAZHJzL2Rvd25yZXYueG1sUEsBAhQA&#10;FAAAAAgAh07iQFNAyTiIAQAAAQMAAA4AAAAAAAAAAQAgAAAAHwEAAGRycy9lMm9Eb2MueG1sUEsF&#10;BgAAAAAGAAYAWQEAABkFAAAAAA==&#10;">
              <v:path/>
              <v:fill on="f" focussize="0,0"/>
              <v:stroke on="f"/>
              <v:imagedata o:title=""/>
              <o:lock v:ext="edit"/>
              <v:textbox>
                <w:txbxContent>
                  <w:p>
                    <w:pPr>
                      <w:pStyle w:val="4"/>
                      <w:jc w:val="center"/>
                      <w:rPr>
                        <w:rFonts w:ascii="Times New Roman" w:hAnsi="Times New Roman" w:cs="Times New Roman"/>
                      </w:rPr>
                    </w:pPr>
                    <w:r>
                      <w:rPr>
                        <w:rFonts w:ascii="Times New Roman" w:hAnsi="Times New Roman" w:cs="Times New Roman"/>
                      </w:rPr>
                      <w:t>-</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PAGE   \* MERGEFORMAT</w:instrText>
                    </w:r>
                    <w:r>
                      <w:rPr>
                        <w:rFonts w:hint="eastAsia" w:ascii="仿宋" w:hAnsi="仿宋" w:eastAsia="仿宋" w:cs="仿宋"/>
                        <w:sz w:val="24"/>
                        <w:szCs w:val="24"/>
                      </w:rPr>
                      <w:fldChar w:fldCharType="separate"/>
                    </w:r>
                    <w:r>
                      <w:rPr>
                        <w:rFonts w:ascii="仿宋" w:hAnsi="仿宋" w:eastAsia="仿宋" w:cs="仿宋"/>
                        <w:sz w:val="24"/>
                        <w:szCs w:val="24"/>
                        <w:lang w:val="zh-CN"/>
                      </w:rPr>
                      <w:t>17</w:t>
                    </w:r>
                    <w:r>
                      <w:rPr>
                        <w:rFonts w:hint="eastAsia" w:ascii="仿宋" w:hAnsi="仿宋" w:eastAsia="仿宋" w:cs="仿宋"/>
                        <w:sz w:val="24"/>
                        <w:szCs w:val="24"/>
                      </w:rPr>
                      <w:fldChar w:fldCharType="end"/>
                    </w:r>
                    <w:r>
                      <w:rPr>
                        <w:rFonts w:ascii="Times New Roman" w:hAnsi="Times New Roman" w:cs="Times New Roman"/>
                      </w:rPr>
                      <w:t>-</w:t>
                    </w:r>
                  </w:p>
                  <w:p>
                    <w:pPr>
                      <w:rPr>
                        <w:rFonts w:ascii="Times New Roman" w:hAnsi="Times New Roman" w:cs="Times New Roma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chineseCounting"/>
      <w:suff w:val="nothing"/>
      <w:lvlText w:val="（%1）"/>
      <w:lvlJc w:val="left"/>
      <w:pPr>
        <w:ind w:left="0" w:firstLine="420"/>
      </w:pPr>
      <w:rPr>
        <w:rFonts w:hint="eastAsia"/>
      </w:rPr>
    </w:lvl>
  </w:abstractNum>
  <w:abstractNum w:abstractNumId="1">
    <w:nsid w:val="00000002"/>
    <w:multiLevelType w:val="singleLevel"/>
    <w:tmpl w:val="00000002"/>
    <w:lvl w:ilvl="0" w:tentative="0">
      <w:start w:val="1"/>
      <w:numFmt w:val="chineseCounting"/>
      <w:suff w:val="nothing"/>
      <w:lvlText w:val="%1、"/>
      <w:lvlJc w:val="left"/>
      <w:pPr>
        <w:ind w:left="0" w:firstLine="420"/>
      </w:pPr>
      <w:rPr>
        <w:rFonts w:hint="eastAsia"/>
      </w:rPr>
    </w:lvl>
  </w:abstractNum>
  <w:abstractNum w:abstractNumId="2">
    <w:nsid w:val="00000003"/>
    <w:multiLevelType w:val="singleLevel"/>
    <w:tmpl w:val="00000003"/>
    <w:lvl w:ilvl="0" w:tentative="0">
      <w:start w:val="1"/>
      <w:numFmt w:val="chineseCounting"/>
      <w:suff w:val="nothing"/>
      <w:lvlText w:val="（%1）"/>
      <w:lvlJc w:val="left"/>
      <w:pPr>
        <w:ind w:left="0" w:firstLine="420"/>
      </w:pPr>
      <w:rPr>
        <w:rFonts w:hint="eastAsia"/>
      </w:rPr>
    </w:lvl>
  </w:abstractNum>
  <w:abstractNum w:abstractNumId="3">
    <w:nsid w:val="00000004"/>
    <w:multiLevelType w:val="singleLevel"/>
    <w:tmpl w:val="00000004"/>
    <w:lvl w:ilvl="0" w:tentative="0">
      <w:start w:val="2"/>
      <w:numFmt w:val="decimal"/>
      <w:suff w:val="nothing"/>
      <w:lvlText w:val="%1."/>
      <w:lvlJc w:val="left"/>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能源局">
    <w15:presenceInfo w15:providerId="None" w15:userId="能源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A0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uiPriority w:val="0"/>
    <w:pPr>
      <w:keepNext/>
      <w:keepLines/>
      <w:spacing w:before="260" w:after="260" w:line="416" w:lineRule="auto"/>
      <w:outlineLvl w:val="1"/>
    </w:pPr>
    <w:rPr>
      <w:rFonts w:ascii="等线 Light" w:hAnsi="等线 Light" w:eastAsia="等线 Light" w:cs="Times New Roman"/>
      <w:b/>
      <w:bCs/>
      <w:sz w:val="32"/>
      <w:szCs w:val="32"/>
    </w:rPr>
  </w:style>
  <w:style w:type="character" w:default="1" w:styleId="9">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5">
    <w:name w:val="toc 1"/>
    <w:basedOn w:val="1"/>
    <w:next w:val="1"/>
    <w:qFormat/>
    <w:uiPriority w:val="0"/>
    <w:rPr>
      <w:rFonts w:ascii="Times New Roman" w:hAnsi="Times New Roman" w:eastAsia="宋体" w:cs="Times New Roman"/>
    </w:rPr>
  </w:style>
  <w:style w:type="paragraph" w:styleId="6">
    <w:name w:val="footnote text"/>
    <w:basedOn w:val="1"/>
    <w:qFormat/>
    <w:uiPriority w:val="0"/>
    <w:pPr>
      <w:snapToGrid w:val="0"/>
      <w:jc w:val="left"/>
    </w:pPr>
    <w:rPr>
      <w:rFonts w:ascii="Times New Roman" w:hAnsi="Times New Roman" w:eastAsia="宋体" w:cs="Times New Roman"/>
      <w:sz w:val="18"/>
      <w:szCs w:val="18"/>
    </w:rPr>
  </w:style>
  <w:style w:type="paragraph" w:styleId="7">
    <w:name w:val="toc 2"/>
    <w:basedOn w:val="1"/>
    <w:next w:val="1"/>
    <w:qFormat/>
    <w:uiPriority w:val="0"/>
    <w:pPr>
      <w:ind w:left="420" w:leftChars="200"/>
    </w:pPr>
    <w:rPr>
      <w:rFonts w:ascii="Times New Roman" w:hAnsi="Times New Roman" w:eastAsia="宋体" w:cs="Times New Roman"/>
    </w:rPr>
  </w:style>
  <w:style w:type="paragraph" w:styleId="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font21"/>
    <w:basedOn w:val="9"/>
    <w:qFormat/>
    <w:uiPriority w:val="0"/>
    <w:rPr>
      <w:rFonts w:hint="eastAsia" w:ascii="仿宋" w:hAnsi="仿宋" w:eastAsia="仿宋" w:cs="仿宋"/>
      <w:color w:val="000000"/>
      <w:sz w:val="24"/>
      <w:szCs w:val="24"/>
      <w:u w:val="none"/>
    </w:rPr>
  </w:style>
  <w:style w:type="character" w:customStyle="1" w:styleId="12">
    <w:name w:val="font01"/>
    <w:basedOn w:val="9"/>
    <w:qFormat/>
    <w:uiPriority w:val="0"/>
    <w:rPr>
      <w:rFonts w:hint="eastAsia" w:ascii="仿宋" w:hAnsi="仿宋" w:eastAsia="仿宋" w:cs="仿宋"/>
      <w:b/>
      <w:color w:val="000000"/>
      <w:sz w:val="24"/>
      <w:szCs w:val="24"/>
      <w:u w:val="none"/>
    </w:rPr>
  </w:style>
  <w:style w:type="character" w:customStyle="1" w:styleId="13">
    <w:name w:val="fontstyle01"/>
    <w:basedOn w:val="9"/>
    <w:qFormat/>
    <w:uiPriority w:val="0"/>
    <w:rPr>
      <w:rFonts w:hint="eastAsia" w:ascii="仿宋" w:hAnsi="仿宋" w:eastAsia="仿宋" w:cs="Times New Roman"/>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A1310036</dc:creator>
  <cp:lastModifiedBy>A1310036</cp:lastModifiedBy>
  <dcterms:modified xsi:type="dcterms:W3CDTF">2019-10-28T09:17:10Z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