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outlineLvl w:val="9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项目招标事项核准意见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161" w:rightChars="-377"/>
        <w:jc w:val="left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建设项目名称：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>广西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  <w:lang w:eastAsia="zh-CN"/>
        </w:rPr>
        <w:t>壮族自治区公共实训基地建设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>项目</w:t>
      </w:r>
    </w:p>
    <w:tbl>
      <w:tblPr>
        <w:tblStyle w:val="6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26"/>
        <w:gridCol w:w="992"/>
        <w:gridCol w:w="850"/>
        <w:gridCol w:w="851"/>
        <w:gridCol w:w="850"/>
        <w:gridCol w:w="850"/>
        <w:gridCol w:w="1135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不采用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勘察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设计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建筑工程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安装工程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监理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重要材料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费用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审批部门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核准意见说明</w:t>
            </w:r>
          </w:p>
        </w:tc>
        <w:tc>
          <w:tcPr>
            <w:tcW w:w="757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根据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《中华人民共和国招标投标法实施条例》《必须招标的工程项目规定》（国家发展改革委2018年第16号令）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>本项目勘察、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设计、建筑工程、安装工程、监理、设备内容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>采用公开招标方式，招标组织形式为委托招标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，请严格按照《中华人民共和国招标投标法》等法律法规和相关部门规章，规范进行招标活动。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48" w:firstLineChars="1600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　审批部门盖章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420" w:firstLineChars="1500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61" w:wrap="around" w:vAnchor="text" w:hAnchor="page" w:x="1696" w:y="-201"/>
      <w:ind w:firstLine="280" w:firstLineChars="100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576D6"/>
    <w:rsid w:val="233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2026-01-08T02:36:00Z</dcterms:created>
  <dc:creator>Administrator</dc:creator>
  <cp:lastModifiedBy>Administrator</cp:lastModifiedBy>
  <dcterms:modified xsi:type="dcterms:W3CDTF">2026-01-08T02:37:46Z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