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56" w:beforeLines="50" w:line="440" w:lineRule="exact"/>
        <w:ind w:right="210" w:rightChars="100"/>
        <w:rPr>
          <w:rFonts w:hint="default" w:ascii="CESI黑体-GB13000" w:hAnsi="CESI黑体-GB13000" w:eastAsia="CESI黑体-GB13000" w:cs="CESI黑体-GB13000"/>
          <w:b w:val="0"/>
          <w:bCs w:val="0"/>
          <w:color w:val="000000"/>
          <w:kern w:val="0"/>
          <w:sz w:val="32"/>
          <w:szCs w:val="32"/>
          <w:lang w:val="en-US" w:eastAsia="zh-CN"/>
        </w:rPr>
      </w:pPr>
      <w:r>
        <w:rPr>
          <w:rFonts w:hint="eastAsia" w:ascii="CESI黑体-GB13000" w:hAnsi="CESI黑体-GB13000" w:eastAsia="CESI黑体-GB13000" w:cs="CESI黑体-GB13000"/>
          <w:b w:val="0"/>
          <w:bCs w:val="0"/>
          <w:color w:val="000000"/>
          <w:kern w:val="0"/>
          <w:sz w:val="32"/>
          <w:szCs w:val="32"/>
          <w:lang w:eastAsia="zh-CN"/>
        </w:rPr>
        <w:t>附件</w:t>
      </w:r>
      <w:r>
        <w:rPr>
          <w:rFonts w:hint="eastAsia" w:ascii="CESI黑体-GB13000" w:hAnsi="CESI黑体-GB13000" w:eastAsia="CESI黑体-GB13000" w:cs="CESI黑体-GB13000"/>
          <w:b w:val="0"/>
          <w:bCs w:val="0"/>
          <w:color w:val="000000"/>
          <w:kern w:val="0"/>
          <w:sz w:val="32"/>
          <w:szCs w:val="32"/>
          <w:lang w:val="en-US" w:eastAsia="zh-CN"/>
        </w:rPr>
        <w:t>2</w:t>
      </w:r>
    </w:p>
    <w:p>
      <w:pPr>
        <w:adjustRightInd w:val="0"/>
        <w:snapToGrid w:val="0"/>
        <w:spacing w:before="156" w:beforeLines="50" w:line="440" w:lineRule="exact"/>
        <w:ind w:right="210" w:rightChars="100"/>
        <w:jc w:val="center"/>
        <w:rPr>
          <w:rFonts w:hint="eastAsia" w:ascii="方正小标宋简体" w:hAnsi="方正小标宋简体" w:eastAsia="方正小标宋简体" w:cs="方正小标宋简体"/>
          <w:color w:val="000000"/>
          <w:kern w:val="0"/>
          <w:sz w:val="36"/>
          <w:szCs w:val="36"/>
        </w:rPr>
      </w:pPr>
      <w:r>
        <w:rPr>
          <w:rFonts w:hint="eastAsia" w:ascii="方正小标宋简体" w:hAnsi="方正小标宋简体" w:eastAsia="方正小标宋简体" w:cs="方正小标宋简体"/>
          <w:color w:val="000000"/>
          <w:kern w:val="0"/>
          <w:sz w:val="36"/>
          <w:szCs w:val="36"/>
          <w:lang w:val="en-US" w:eastAsia="zh-CN"/>
        </w:rPr>
        <w:t xml:space="preserve">  </w:t>
      </w:r>
      <w:bookmarkStart w:id="0" w:name="_GoBack"/>
      <w:r>
        <w:rPr>
          <w:rFonts w:hint="eastAsia" w:ascii="方正小标宋简体" w:hAnsi="方正小标宋简体" w:eastAsia="方正小标宋简体" w:cs="方正小标宋简体"/>
          <w:color w:val="000000"/>
          <w:kern w:val="0"/>
          <w:sz w:val="36"/>
          <w:szCs w:val="36"/>
        </w:rPr>
        <w:t>广西壮族自治区基本公证服务收费目录</w:t>
      </w:r>
    </w:p>
    <w:bookmarkEnd w:id="0"/>
    <w:tbl>
      <w:tblPr>
        <w:tblStyle w:val="3"/>
        <w:tblW w:w="927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87"/>
        <w:gridCol w:w="93"/>
        <w:gridCol w:w="767"/>
        <w:gridCol w:w="93"/>
        <w:gridCol w:w="1500"/>
        <w:gridCol w:w="1158"/>
        <w:gridCol w:w="3518"/>
        <w:gridCol w:w="239"/>
        <w:gridCol w:w="1120"/>
        <w:gridCol w:w="10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78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项目</w:t>
            </w: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序号</w:t>
            </w:r>
          </w:p>
        </w:tc>
        <w:tc>
          <w:tcPr>
            <w:tcW w:w="150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收费名称</w:t>
            </w:r>
          </w:p>
        </w:tc>
        <w:tc>
          <w:tcPr>
            <w:tcW w:w="4915"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收费标准</w:t>
            </w:r>
          </w:p>
        </w:tc>
        <w:tc>
          <w:tcPr>
            <w:tcW w:w="1223"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bCs/>
                <w:i w:val="0"/>
                <w:color w:val="000000"/>
                <w:sz w:val="28"/>
                <w:szCs w:val="28"/>
                <w:u w:val="none"/>
              </w:rPr>
            </w:pPr>
            <w:r>
              <w:rPr>
                <w:rFonts w:hint="eastAsia" w:ascii="仿宋_GB2312" w:hAnsi="仿宋_GB2312" w:eastAsia="仿宋_GB2312" w:cs="仿宋_GB2312"/>
                <w:b/>
                <w:bCs/>
                <w:i w:val="0"/>
                <w:color w:val="000000"/>
                <w:kern w:val="0"/>
                <w:sz w:val="28"/>
                <w:szCs w:val="28"/>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8" w:hRule="atLeast"/>
        </w:trPr>
        <w:tc>
          <w:tcPr>
            <w:tcW w:w="780" w:type="dxa"/>
            <w:gridSpan w:val="2"/>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一、证</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明</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法</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律</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事</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实</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类</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公</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证</w:t>
            </w:r>
          </w:p>
          <w:p>
            <w:pPr>
              <w:keepNext w:val="0"/>
              <w:keepLines w:val="0"/>
              <w:widowControl/>
              <w:suppressLineNumbers w:val="0"/>
              <w:jc w:val="center"/>
              <w:textAlignment w:val="center"/>
              <w:rPr>
                <w:rFonts w:hint="eastAsia" w:ascii="仿宋_GB2312" w:hAnsi="仿宋_GB2312" w:eastAsia="仿宋_GB2312" w:cs="仿宋_GB2312"/>
                <w:b/>
                <w:i w:val="0"/>
                <w:color w:val="000000"/>
                <w:kern w:val="0"/>
                <w:sz w:val="28"/>
                <w:szCs w:val="28"/>
                <w:u w:val="none"/>
                <w:lang w:val="en-US" w:eastAsia="zh-CN" w:bidi="ar"/>
              </w:rPr>
            </w:pPr>
            <w:r>
              <w:rPr>
                <w:rFonts w:hint="eastAsia" w:ascii="仿宋_GB2312" w:hAnsi="仿宋_GB2312" w:eastAsia="仿宋_GB2312" w:cs="仿宋_GB2312"/>
                <w:b/>
                <w:i w:val="0"/>
                <w:color w:val="000000"/>
                <w:kern w:val="0"/>
                <w:sz w:val="28"/>
                <w:szCs w:val="28"/>
                <w:u w:val="none"/>
                <w:lang w:val="en-US" w:eastAsia="zh-CN" w:bidi="ar"/>
              </w:rPr>
              <w:t>收</w:t>
            </w:r>
          </w:p>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8"/>
                <w:szCs w:val="28"/>
                <w:u w:val="none"/>
                <w:lang w:val="en-US" w:eastAsia="zh-CN" w:bidi="ar"/>
              </w:rPr>
              <w:t>费</w:t>
            </w:r>
          </w:p>
        </w:tc>
        <w:tc>
          <w:tcPr>
            <w:tcW w:w="860" w:type="dxa"/>
            <w:gridSpan w:val="2"/>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w:t>
            </w:r>
          </w:p>
        </w:tc>
        <w:tc>
          <w:tcPr>
            <w:tcW w:w="1500"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both"/>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证明财产继承、赠与、接受遗赠</w:t>
            </w:r>
          </w:p>
        </w:tc>
        <w:tc>
          <w:tcPr>
            <w:tcW w:w="4915"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 xml:space="preserve">证明不涉及居民房产部分的，按受益额分段累加计收（最高费用不得超过10万元）：          </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br w:type="textWrapping"/>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（1）受益额20万元（含）及以下部分，收取1.0%；</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br w:type="textWrapping"/>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（2）20万元至50万元（含）部分，收取0.8%;</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br w:type="textWrapping"/>
            </w:r>
            <w:r>
              <w:rPr>
                <w:rFonts w:hint="eastAsia" w:ascii="仿宋_GB2312" w:hAnsi="仿宋_GB2312" w:eastAsia="仿宋_GB2312" w:cs="仿宋_GB2312"/>
                <w:i w:val="0"/>
                <w:color w:val="000000"/>
                <w:kern w:val="0"/>
                <w:sz w:val="24"/>
                <w:szCs w:val="24"/>
                <w:u w:val="none"/>
                <w:lang w:val="en-US" w:eastAsia="zh-CN" w:bidi="ar"/>
              </w:rPr>
              <w:t>（3）</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50万元至500万元（含）部分，收取0.6%;</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br w:type="textWrapping"/>
            </w:r>
            <w:r>
              <w:rPr>
                <w:rFonts w:hint="eastAsia" w:ascii="仿宋_GB2312" w:hAnsi="仿宋_GB2312" w:eastAsia="仿宋_GB2312" w:cs="仿宋_GB2312"/>
                <w:i w:val="0"/>
                <w:color w:val="000000"/>
                <w:kern w:val="0"/>
                <w:sz w:val="24"/>
                <w:szCs w:val="24"/>
                <w:u w:val="none"/>
                <w:lang w:val="en-US" w:eastAsia="zh-CN" w:bidi="ar"/>
              </w:rPr>
              <w:t>（4）</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500万元至1000万元（含）部分，收取0.4%；</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br w:type="textWrapping"/>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（5）1000万元以上部分，收取0.1%。</w:t>
            </w:r>
          </w:p>
        </w:tc>
        <w:tc>
          <w:tcPr>
            <w:tcW w:w="1223" w:type="dxa"/>
            <w:gridSpan w:val="2"/>
            <w:tcBorders>
              <w:top w:val="single" w:color="000000" w:sz="4" w:space="0"/>
              <w:left w:val="single" w:color="000000" w:sz="4" w:space="0"/>
              <w:bottom w:val="nil"/>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 xml:space="preserve">按比例每件收费不到200元的，按200元收取。证明单方赠与或受赠的，减半收取。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2" w:hRule="atLeast"/>
        </w:trPr>
        <w:tc>
          <w:tcPr>
            <w:tcW w:w="780"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both"/>
              <w:rPr>
                <w:rFonts w:hint="eastAsia" w:ascii="仿宋_GB2312" w:hAnsi="仿宋_GB2312" w:eastAsia="仿宋_GB2312" w:cs="仿宋_GB2312"/>
                <w:b/>
                <w:i w:val="0"/>
                <w:color w:val="000000"/>
                <w:sz w:val="24"/>
                <w:szCs w:val="24"/>
                <w:u w:val="none"/>
              </w:rPr>
            </w:pPr>
          </w:p>
        </w:tc>
        <w:tc>
          <w:tcPr>
            <w:tcW w:w="860"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i w:val="0"/>
                <w:color w:val="000000"/>
                <w:sz w:val="24"/>
                <w:szCs w:val="24"/>
                <w:u w:val="none"/>
              </w:rPr>
            </w:pPr>
          </w:p>
        </w:tc>
        <w:tc>
          <w:tcPr>
            <w:tcW w:w="1500" w:type="dxa"/>
            <w:vMerge w:val="continue"/>
            <w:tcBorders>
              <w:top w:val="single" w:color="000000" w:sz="4" w:space="0"/>
              <w:left w:val="single" w:color="000000" w:sz="4" w:space="0"/>
              <w:bottom w:val="single" w:color="000000" w:sz="4" w:space="0"/>
              <w:right w:val="single" w:color="000000" w:sz="4" w:space="0"/>
            </w:tcBorders>
            <w:vAlign w:val="center"/>
          </w:tcPr>
          <w:p>
            <w:pPr>
              <w:jc w:val="both"/>
              <w:rPr>
                <w:rFonts w:hint="eastAsia" w:ascii="仿宋_GB2312" w:hAnsi="仿宋_GB2312" w:eastAsia="仿宋_GB2312" w:cs="仿宋_GB2312"/>
                <w:i w:val="0"/>
                <w:color w:val="000000"/>
                <w:sz w:val="24"/>
                <w:szCs w:val="24"/>
                <w:u w:val="none"/>
              </w:rPr>
            </w:pPr>
          </w:p>
        </w:tc>
        <w:tc>
          <w:tcPr>
            <w:tcW w:w="4915"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证明涉及居民房产部分的，可按受益房产价值或者房产面积从低计收（单套居民房产收取的公证服务费原则上最高不</w:t>
            </w: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超过1万元</w:t>
            </w:r>
            <w:r>
              <w:rPr>
                <w:rFonts w:hint="eastAsia" w:ascii="仿宋_GB2312" w:hAnsi="仿宋_GB2312" w:eastAsia="仿宋_GB2312" w:cs="仿宋_GB2312"/>
                <w:i w:val="0"/>
                <w:color w:val="000000"/>
                <w:kern w:val="0"/>
                <w:sz w:val="24"/>
                <w:szCs w:val="24"/>
                <w:u w:val="none"/>
                <w:lang w:val="en-US" w:eastAsia="zh-CN" w:bidi="ar"/>
              </w:rPr>
              <w:t xml:space="preserve">）。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 A.按受益房产价值分段累加计收：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（1）受益额50万元（含）以下，收取0.5%;                                                                                                （2）50万元以上至100万元（含）部分，收取0.4%；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（3）100万元以上至200万元（含）部分，收取0.3%；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（4）200万元以上至300万元（含）部分，收取0.2%；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（5）300万元以上，收取0.1%。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B.按房产面积计收：</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每平方米40元，农村农民自有住房每平方米不超过20元。（尾数部分，不足一平方米按一平方米计算）。                                                  公证机构办理房产的继承、遗赠、赠与公证，应当选择按房产价值或者房产面积计算较低的作为计价标准并予以公示。                               </w:t>
            </w:r>
          </w:p>
        </w:tc>
        <w:tc>
          <w:tcPr>
            <w:tcW w:w="1223"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 xml:space="preserve">证明单方赠与或受赠的，减半收取。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3" w:type="dxa"/>
          <w:trHeight w:val="2070" w:hRule="atLeast"/>
        </w:trPr>
        <w:tc>
          <w:tcPr>
            <w:tcW w:w="687" w:type="dxa"/>
            <w:vMerge w:val="restart"/>
            <w:tcBorders>
              <w:top w:val="single" w:color="auto"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8"/>
                <w:szCs w:val="28"/>
                <w:u w:val="none"/>
                <w:lang w:val="en-US" w:eastAsia="zh-CN" w:bidi="ar"/>
              </w:rPr>
              <w:t>一、证明法律事实类公证收费</w:t>
            </w: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w:t>
            </w:r>
          </w:p>
        </w:tc>
        <w:tc>
          <w:tcPr>
            <w:tcW w:w="2751"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证明离婚、抚养、赡养、监护、劳动（劳务）、寄养、遗赠抚养、解除收养关系、出国留学等协议</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lang w:val="en-US"/>
              </w:rPr>
            </w:pPr>
            <w:r>
              <w:rPr>
                <w:rFonts w:hint="eastAsia" w:ascii="仿宋_GB2312" w:hAnsi="仿宋_GB2312" w:eastAsia="仿宋_GB2312" w:cs="仿宋_GB2312"/>
                <w:i w:val="0"/>
                <w:color w:val="000000"/>
                <w:kern w:val="0"/>
                <w:sz w:val="24"/>
                <w:szCs w:val="24"/>
                <w:u w:val="none"/>
                <w:lang w:val="en-US" w:eastAsia="zh-CN" w:bidi="ar"/>
              </w:rPr>
              <w:t>（1）证明离婚、抚养、赡养、监护、劳动（劳务）、寄养、解除收养关系、出国留学等协议，300元</w:t>
            </w:r>
            <w:r>
              <w:rPr>
                <w:rFonts w:hint="eastAsia" w:ascii="仿宋_GB2312" w:hAnsi="仿宋_GB2312" w:eastAsia="仿宋_GB2312" w:cs="仿宋_GB2312"/>
                <w:i w:val="0"/>
                <w:color w:val="000000"/>
                <w:kern w:val="0"/>
                <w:sz w:val="24"/>
                <w:szCs w:val="24"/>
                <w:u w:val="none"/>
                <w:lang w:val="en" w:eastAsia="zh-CN" w:bidi="ar"/>
              </w:rPr>
              <w:t>/件；（</w:t>
            </w:r>
            <w:r>
              <w:rPr>
                <w:rFonts w:hint="eastAsia" w:ascii="仿宋_GB2312" w:hAnsi="仿宋_GB2312" w:eastAsia="仿宋_GB2312" w:cs="仿宋_GB2312"/>
                <w:i w:val="0"/>
                <w:color w:val="000000"/>
                <w:kern w:val="0"/>
                <w:sz w:val="24"/>
                <w:szCs w:val="24"/>
                <w:u w:val="none"/>
                <w:lang w:val="en-US" w:eastAsia="zh-CN" w:bidi="ar"/>
              </w:rPr>
              <w:t>2</w:t>
            </w:r>
            <w:r>
              <w:rPr>
                <w:rFonts w:hint="eastAsia" w:ascii="仿宋_GB2312" w:hAnsi="仿宋_GB2312" w:eastAsia="仿宋_GB2312" w:cs="仿宋_GB2312"/>
                <w:i w:val="0"/>
                <w:color w:val="000000"/>
                <w:kern w:val="0"/>
                <w:sz w:val="24"/>
                <w:szCs w:val="24"/>
                <w:u w:val="none"/>
                <w:lang w:val="en" w:eastAsia="zh-CN" w:bidi="ar"/>
              </w:rPr>
              <w:t>）证明遗赠扶养协议，按第</w:t>
            </w:r>
            <w:r>
              <w:rPr>
                <w:rFonts w:hint="eastAsia" w:ascii="仿宋_GB2312" w:hAnsi="仿宋_GB2312" w:eastAsia="仿宋_GB2312" w:cs="仿宋_GB2312"/>
                <w:i w:val="0"/>
                <w:color w:val="000000"/>
                <w:kern w:val="0"/>
                <w:sz w:val="24"/>
                <w:szCs w:val="24"/>
                <w:u w:val="none"/>
                <w:lang w:val="en-US" w:eastAsia="zh-CN" w:bidi="ar"/>
              </w:rPr>
              <w:t>1项“证明财产继承、赠与、接受遗赠”标准收费。</w:t>
            </w:r>
          </w:p>
        </w:tc>
        <w:tc>
          <w:tcPr>
            <w:tcW w:w="1359"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3" w:type="dxa"/>
          <w:trHeight w:val="804" w:hRule="atLeast"/>
        </w:trPr>
        <w:tc>
          <w:tcPr>
            <w:tcW w:w="687" w:type="dxa"/>
            <w:vMerge w:val="continue"/>
            <w:tcBorders>
              <w:top w:val="nil"/>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w:t>
            </w:r>
          </w:p>
        </w:tc>
        <w:tc>
          <w:tcPr>
            <w:tcW w:w="2751"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both"/>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证明遗嘱</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500元/件</w:t>
            </w:r>
          </w:p>
        </w:tc>
        <w:tc>
          <w:tcPr>
            <w:tcW w:w="135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3" w:type="dxa"/>
          <w:trHeight w:val="936" w:hRule="atLeast"/>
        </w:trPr>
        <w:tc>
          <w:tcPr>
            <w:tcW w:w="687" w:type="dxa"/>
            <w:vMerge w:val="continue"/>
            <w:tcBorders>
              <w:top w:val="nil"/>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w:t>
            </w:r>
          </w:p>
        </w:tc>
        <w:tc>
          <w:tcPr>
            <w:tcW w:w="2751"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证明自然人委托、声明、保证、承诺等单方法律行为</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200元/件</w:t>
            </w:r>
          </w:p>
        </w:tc>
        <w:tc>
          <w:tcPr>
            <w:tcW w:w="1359"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涉及财产关系的，加倍收取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3" w:type="dxa"/>
          <w:trHeight w:val="2900" w:hRule="atLeast"/>
        </w:trPr>
        <w:tc>
          <w:tcPr>
            <w:tcW w:w="687" w:type="dxa"/>
            <w:vMerge w:val="continue"/>
            <w:tcBorders>
              <w:top w:val="nil"/>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w:t>
            </w:r>
          </w:p>
        </w:tc>
        <w:tc>
          <w:tcPr>
            <w:tcW w:w="2751"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证明出生、生存、死亡、身份、曾用名、住所地（居住地）、学历、学位、经历、职务（职称）、资格、有无违法犯罪记录、婚姻状况、亲属关系、财产权、收入状况、纳税状况、选票、指纹等有法律意义的事实</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150元/件</w:t>
            </w:r>
          </w:p>
        </w:tc>
        <w:tc>
          <w:tcPr>
            <w:tcW w:w="135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3" w:type="dxa"/>
          <w:trHeight w:val="1248" w:hRule="atLeast"/>
        </w:trPr>
        <w:tc>
          <w:tcPr>
            <w:tcW w:w="687" w:type="dxa"/>
            <w:vMerge w:val="continue"/>
            <w:tcBorders>
              <w:top w:val="nil"/>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6</w:t>
            </w:r>
          </w:p>
        </w:tc>
        <w:tc>
          <w:tcPr>
            <w:tcW w:w="2751"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证明不可抗力、意外事件、收养关系、票据拒绝、查无档案记载、法人及其他组织的资格、资信等</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300元/件</w:t>
            </w:r>
          </w:p>
        </w:tc>
        <w:tc>
          <w:tcPr>
            <w:tcW w:w="135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仿宋_GB2312" w:hAnsi="仿宋_GB2312" w:eastAsia="仿宋_GB2312" w:cs="仿宋_GB2312"/>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3" w:type="dxa"/>
          <w:trHeight w:val="4700" w:hRule="atLeast"/>
        </w:trPr>
        <w:tc>
          <w:tcPr>
            <w:tcW w:w="687" w:type="dxa"/>
            <w:vMerge w:val="continue"/>
            <w:tcBorders>
              <w:top w:val="nil"/>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60"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7</w:t>
            </w:r>
          </w:p>
        </w:tc>
        <w:tc>
          <w:tcPr>
            <w:tcW w:w="2751"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证明赋予债权文书具有强制执行效力</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 xml:space="preserve">按债务总额分段累加计收（最高费用不得超过10万元）：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（1）债务额100万元（含）以下，收取0.15%，按比例收费不到200元的，按200元收取；</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（2）100万元以上至500万元（含）部分，收取0.1%；                        </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（3）500万元以上至1000万元（含）部分，收取0.06%；</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（4）1000万元以上至5000万（含）部分，收取0.03%；</w:t>
            </w:r>
            <w:r>
              <w:rPr>
                <w:rFonts w:hint="eastAsia" w:ascii="仿宋_GB2312" w:hAnsi="仿宋_GB2312" w:eastAsia="仿宋_GB2312" w:cs="仿宋_GB2312"/>
                <w:i w:val="0"/>
                <w:color w:val="000000"/>
                <w:kern w:val="0"/>
                <w:sz w:val="24"/>
                <w:szCs w:val="24"/>
                <w:u w:val="none"/>
                <w:lang w:val="en-US" w:eastAsia="zh-CN" w:bidi="ar"/>
              </w:rPr>
              <w:br w:type="textWrapping"/>
            </w:r>
            <w:r>
              <w:rPr>
                <w:rFonts w:hint="eastAsia" w:ascii="仿宋_GB2312" w:hAnsi="仿宋_GB2312" w:eastAsia="仿宋_GB2312" w:cs="仿宋_GB2312"/>
                <w:i w:val="0"/>
                <w:color w:val="000000"/>
                <w:kern w:val="0"/>
                <w:sz w:val="24"/>
                <w:szCs w:val="24"/>
                <w:u w:val="none"/>
                <w:lang w:val="en-US" w:eastAsia="zh-CN" w:bidi="ar"/>
              </w:rPr>
              <w:t xml:space="preserve">（5）5000万元以上部分，收取0.01%；                                                                                                               （6）另需出具执行证书的，减半收取，不足500元按500元收取。                          </w:t>
            </w:r>
          </w:p>
        </w:tc>
        <w:tc>
          <w:tcPr>
            <w:tcW w:w="1359"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 xml:space="preserve">           </w:t>
            </w:r>
          </w:p>
        </w:tc>
      </w:tr>
    </w:tbl>
    <w:p>
      <w:pPr>
        <w:adjustRightInd w:val="0"/>
        <w:snapToGrid w:val="0"/>
        <w:spacing w:before="156" w:beforeLines="50" w:line="440" w:lineRule="exact"/>
        <w:ind w:right="210" w:rightChars="100"/>
        <w:rPr>
          <w:rFonts w:hint="default" w:ascii="Times New Roman" w:hAnsi="Times New Roman" w:eastAsia="方正仿宋_GBK" w:cs="Times New Roman"/>
          <w:color w:val="000000"/>
          <w:kern w:val="0"/>
          <w:sz w:val="28"/>
          <w:szCs w:val="28"/>
        </w:rPr>
      </w:pPr>
    </w:p>
    <w:tbl>
      <w:tblPr>
        <w:tblStyle w:val="3"/>
        <w:tblW w:w="927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00"/>
        <w:gridCol w:w="830"/>
        <w:gridCol w:w="2724"/>
        <w:gridCol w:w="3518"/>
        <w:gridCol w:w="14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trPr>
        <w:tc>
          <w:tcPr>
            <w:tcW w:w="800"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kern w:val="0"/>
                <w:sz w:val="28"/>
                <w:szCs w:val="28"/>
                <w:u w:val="none"/>
                <w:lang w:val="en-US" w:eastAsia="zh-CN" w:bidi="ar"/>
              </w:rPr>
              <w:t>二、证明文件文书类公证收费</w:t>
            </w:r>
          </w:p>
        </w:tc>
        <w:tc>
          <w:tcPr>
            <w:tcW w:w="8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w:t>
            </w:r>
          </w:p>
        </w:tc>
        <w:tc>
          <w:tcPr>
            <w:tcW w:w="272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仿宋_GB2312" w:hAnsi="仿宋_GB2312" w:eastAsia="仿宋_GB2312" w:cs="仿宋_GB2312"/>
                <w:i w:val="0"/>
                <w:color w:val="000000"/>
                <w:sz w:val="24"/>
                <w:szCs w:val="24"/>
                <w:u w:val="none"/>
              </w:rPr>
            </w:pPr>
            <w:r>
              <w:rPr>
                <w:rStyle w:val="6"/>
                <w:rFonts w:hint="eastAsia" w:ascii="仿宋_GB2312" w:hAnsi="仿宋_GB2312" w:eastAsia="仿宋_GB2312" w:cs="仿宋_GB2312"/>
                <w:sz w:val="24"/>
                <w:szCs w:val="24"/>
                <w:lang w:val="en-US" w:eastAsia="zh-CN" w:bidi="ar"/>
              </w:rPr>
              <w:t>证明证书、执照</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150</w:t>
            </w:r>
            <w:r>
              <w:rPr>
                <w:rStyle w:val="6"/>
                <w:rFonts w:hint="eastAsia" w:ascii="仿宋_GB2312" w:hAnsi="仿宋_GB2312" w:eastAsia="仿宋_GB2312" w:cs="仿宋_GB2312"/>
                <w:sz w:val="24"/>
                <w:szCs w:val="24"/>
                <w:lang w:val="en-US" w:eastAsia="zh-CN" w:bidi="ar"/>
              </w:rPr>
              <w:t>元</w:t>
            </w:r>
            <w:r>
              <w:rPr>
                <w:rFonts w:hint="eastAsia" w:ascii="仿宋_GB2312" w:hAnsi="仿宋_GB2312" w:eastAsia="仿宋_GB2312" w:cs="仿宋_GB2312"/>
                <w:i w:val="0"/>
                <w:color w:val="000000"/>
                <w:kern w:val="0"/>
                <w:sz w:val="24"/>
                <w:szCs w:val="24"/>
                <w:u w:val="none"/>
                <w:lang w:val="en-US" w:eastAsia="zh-CN" w:bidi="ar"/>
              </w:rPr>
              <w:t>/</w:t>
            </w:r>
            <w:r>
              <w:rPr>
                <w:rStyle w:val="6"/>
                <w:rFonts w:hint="eastAsia" w:ascii="仿宋_GB2312" w:hAnsi="仿宋_GB2312" w:eastAsia="仿宋_GB2312" w:cs="仿宋_GB2312"/>
                <w:sz w:val="24"/>
                <w:szCs w:val="24"/>
                <w:lang w:val="en-US" w:eastAsia="zh-CN" w:bidi="ar"/>
              </w:rPr>
              <w:t>件</w:t>
            </w:r>
          </w:p>
        </w:tc>
        <w:tc>
          <w:tcPr>
            <w:tcW w:w="1407"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b/>
                <w:i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0" w:hRule="atLeast"/>
        </w:trPr>
        <w:tc>
          <w:tcPr>
            <w:tcW w:w="80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2</w:t>
            </w:r>
          </w:p>
        </w:tc>
        <w:tc>
          <w:tcPr>
            <w:tcW w:w="272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仿宋_GB2312" w:eastAsia="仿宋_GB2312" w:cs="仿宋_GB2312"/>
                <w:i w:val="0"/>
                <w:color w:val="000000"/>
                <w:sz w:val="24"/>
                <w:szCs w:val="24"/>
                <w:u w:val="none"/>
              </w:rPr>
            </w:pPr>
            <w:r>
              <w:rPr>
                <w:rStyle w:val="6"/>
                <w:rFonts w:hint="eastAsia" w:ascii="仿宋_GB2312" w:hAnsi="仿宋_GB2312" w:eastAsia="仿宋_GB2312" w:cs="仿宋_GB2312"/>
                <w:sz w:val="24"/>
                <w:szCs w:val="24"/>
                <w:lang w:val="en-US" w:eastAsia="zh-CN" w:bidi="ar"/>
              </w:rPr>
              <w:t>证明文书的副本、影印本、节本、译本与原本相符</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150</w:t>
            </w:r>
            <w:r>
              <w:rPr>
                <w:rStyle w:val="6"/>
                <w:rFonts w:hint="eastAsia" w:ascii="仿宋_GB2312" w:hAnsi="仿宋_GB2312" w:eastAsia="仿宋_GB2312" w:cs="仿宋_GB2312"/>
                <w:sz w:val="24"/>
                <w:szCs w:val="24"/>
                <w:lang w:val="en-US" w:eastAsia="zh-CN" w:bidi="ar"/>
              </w:rPr>
              <w:t>元</w:t>
            </w:r>
            <w:r>
              <w:rPr>
                <w:rFonts w:hint="eastAsia" w:ascii="仿宋_GB2312" w:hAnsi="仿宋_GB2312" w:eastAsia="仿宋_GB2312" w:cs="仿宋_GB2312"/>
                <w:i w:val="0"/>
                <w:color w:val="000000"/>
                <w:kern w:val="0"/>
                <w:sz w:val="24"/>
                <w:szCs w:val="24"/>
                <w:u w:val="none"/>
                <w:lang w:val="en-US" w:eastAsia="zh-CN" w:bidi="ar"/>
              </w:rPr>
              <w:t>/</w:t>
            </w:r>
            <w:r>
              <w:rPr>
                <w:rStyle w:val="6"/>
                <w:rFonts w:hint="eastAsia" w:ascii="仿宋_GB2312" w:hAnsi="仿宋_GB2312" w:eastAsia="仿宋_GB2312" w:cs="仿宋_GB2312"/>
                <w:sz w:val="24"/>
                <w:szCs w:val="24"/>
                <w:lang w:val="en-US" w:eastAsia="zh-CN" w:bidi="ar"/>
              </w:rPr>
              <w:t>件</w:t>
            </w:r>
          </w:p>
        </w:tc>
        <w:tc>
          <w:tcPr>
            <w:tcW w:w="1407"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b/>
                <w:i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80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3</w:t>
            </w:r>
          </w:p>
        </w:tc>
        <w:tc>
          <w:tcPr>
            <w:tcW w:w="272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仿宋_GB2312" w:eastAsia="仿宋_GB2312" w:cs="仿宋_GB2312"/>
                <w:i w:val="0"/>
                <w:color w:val="000000"/>
                <w:sz w:val="24"/>
                <w:szCs w:val="24"/>
                <w:u w:val="none"/>
              </w:rPr>
            </w:pPr>
            <w:r>
              <w:rPr>
                <w:rStyle w:val="6"/>
                <w:rFonts w:hint="eastAsia" w:ascii="仿宋_GB2312" w:hAnsi="仿宋_GB2312" w:eastAsia="仿宋_GB2312" w:cs="仿宋_GB2312"/>
                <w:sz w:val="24"/>
                <w:szCs w:val="24"/>
                <w:lang w:val="en-US" w:eastAsia="zh-CN" w:bidi="ar"/>
              </w:rPr>
              <w:t>证明涉外公证书的译文与原文相符</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150</w:t>
            </w:r>
            <w:r>
              <w:rPr>
                <w:rStyle w:val="6"/>
                <w:rFonts w:hint="eastAsia" w:ascii="仿宋_GB2312" w:hAnsi="仿宋_GB2312" w:eastAsia="仿宋_GB2312" w:cs="仿宋_GB2312"/>
                <w:sz w:val="24"/>
                <w:szCs w:val="24"/>
                <w:lang w:val="en-US" w:eastAsia="zh-CN" w:bidi="ar"/>
              </w:rPr>
              <w:t>元</w:t>
            </w:r>
            <w:r>
              <w:rPr>
                <w:rFonts w:hint="eastAsia" w:ascii="仿宋_GB2312" w:hAnsi="仿宋_GB2312" w:eastAsia="仿宋_GB2312" w:cs="仿宋_GB2312"/>
                <w:i w:val="0"/>
                <w:color w:val="000000"/>
                <w:kern w:val="0"/>
                <w:sz w:val="24"/>
                <w:szCs w:val="24"/>
                <w:u w:val="none"/>
                <w:lang w:val="en-US" w:eastAsia="zh-CN" w:bidi="ar"/>
              </w:rPr>
              <w:t>/</w:t>
            </w:r>
            <w:r>
              <w:rPr>
                <w:rStyle w:val="6"/>
                <w:rFonts w:hint="eastAsia" w:ascii="仿宋_GB2312" w:hAnsi="仿宋_GB2312" w:eastAsia="仿宋_GB2312" w:cs="仿宋_GB2312"/>
                <w:sz w:val="24"/>
                <w:szCs w:val="24"/>
                <w:lang w:val="en-US" w:eastAsia="zh-CN" w:bidi="ar"/>
              </w:rPr>
              <w:t>件</w:t>
            </w:r>
          </w:p>
        </w:tc>
        <w:tc>
          <w:tcPr>
            <w:tcW w:w="1407"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b/>
                <w:i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80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4</w:t>
            </w:r>
          </w:p>
        </w:tc>
        <w:tc>
          <w:tcPr>
            <w:tcW w:w="272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仿宋_GB2312" w:hAnsi="仿宋_GB2312" w:eastAsia="仿宋_GB2312" w:cs="仿宋_GB2312"/>
                <w:i w:val="0"/>
                <w:color w:val="000000"/>
                <w:sz w:val="24"/>
                <w:szCs w:val="24"/>
                <w:u w:val="none"/>
              </w:rPr>
            </w:pPr>
            <w:r>
              <w:rPr>
                <w:rStyle w:val="6"/>
                <w:rFonts w:hint="eastAsia" w:ascii="仿宋_GB2312" w:hAnsi="仿宋_GB2312" w:eastAsia="仿宋_GB2312" w:cs="仿宋_GB2312"/>
                <w:sz w:val="24"/>
                <w:szCs w:val="24"/>
                <w:lang w:val="en-US" w:eastAsia="zh-CN" w:bidi="ar"/>
              </w:rPr>
              <w:t>证明文书上的签名、印鉴、日期</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150</w:t>
            </w:r>
            <w:r>
              <w:rPr>
                <w:rStyle w:val="6"/>
                <w:rFonts w:hint="eastAsia" w:ascii="仿宋_GB2312" w:hAnsi="仿宋_GB2312" w:eastAsia="仿宋_GB2312" w:cs="仿宋_GB2312"/>
                <w:sz w:val="24"/>
                <w:szCs w:val="24"/>
                <w:lang w:val="en-US" w:eastAsia="zh-CN" w:bidi="ar"/>
              </w:rPr>
              <w:t>元</w:t>
            </w:r>
            <w:r>
              <w:rPr>
                <w:rFonts w:hint="eastAsia" w:ascii="仿宋_GB2312" w:hAnsi="仿宋_GB2312" w:eastAsia="仿宋_GB2312" w:cs="仿宋_GB2312"/>
                <w:i w:val="0"/>
                <w:color w:val="000000"/>
                <w:kern w:val="0"/>
                <w:sz w:val="24"/>
                <w:szCs w:val="24"/>
                <w:u w:val="none"/>
                <w:lang w:val="en-US" w:eastAsia="zh-CN" w:bidi="ar"/>
              </w:rPr>
              <w:t>/</w:t>
            </w:r>
            <w:r>
              <w:rPr>
                <w:rStyle w:val="6"/>
                <w:rFonts w:hint="eastAsia" w:ascii="仿宋_GB2312" w:hAnsi="仿宋_GB2312" w:eastAsia="仿宋_GB2312" w:cs="仿宋_GB2312"/>
                <w:sz w:val="24"/>
                <w:szCs w:val="24"/>
                <w:lang w:val="en-US" w:eastAsia="zh-CN" w:bidi="ar"/>
              </w:rPr>
              <w:t>件</w:t>
            </w:r>
          </w:p>
        </w:tc>
        <w:tc>
          <w:tcPr>
            <w:tcW w:w="1407"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b/>
                <w:i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80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_GB2312" w:hAnsi="仿宋_GB2312" w:eastAsia="仿宋_GB2312" w:cs="仿宋_GB2312"/>
                <w:b/>
                <w:i w:val="0"/>
                <w:color w:val="000000"/>
                <w:sz w:val="24"/>
                <w:szCs w:val="24"/>
                <w:u w:val="none"/>
              </w:rPr>
            </w:pPr>
          </w:p>
        </w:tc>
        <w:tc>
          <w:tcPr>
            <w:tcW w:w="8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5</w:t>
            </w:r>
          </w:p>
        </w:tc>
        <w:tc>
          <w:tcPr>
            <w:tcW w:w="272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480" w:hanging="480" w:hangingChars="200"/>
              <w:jc w:val="left"/>
              <w:textAlignment w:val="center"/>
              <w:rPr>
                <w:rFonts w:hint="eastAsia" w:ascii="仿宋_GB2312" w:hAnsi="仿宋_GB2312" w:eastAsia="仿宋_GB2312" w:cs="仿宋_GB2312"/>
                <w:i w:val="0"/>
                <w:color w:val="000000"/>
                <w:sz w:val="24"/>
                <w:szCs w:val="24"/>
                <w:u w:val="none"/>
              </w:rPr>
            </w:pPr>
            <w:r>
              <w:rPr>
                <w:rStyle w:val="6"/>
                <w:rFonts w:hint="eastAsia" w:ascii="仿宋_GB2312" w:hAnsi="仿宋_GB2312" w:eastAsia="仿宋_GB2312" w:cs="仿宋_GB2312"/>
                <w:sz w:val="24"/>
                <w:szCs w:val="24"/>
                <w:lang w:val="en-US" w:eastAsia="zh-CN" w:bidi="ar"/>
              </w:rPr>
              <w:t>涉台公证书副本查证（核验）</w:t>
            </w:r>
          </w:p>
        </w:tc>
        <w:tc>
          <w:tcPr>
            <w:tcW w:w="351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4"/>
                <w:szCs w:val="24"/>
                <w:u w:val="none"/>
              </w:rPr>
            </w:pPr>
            <w:r>
              <w:rPr>
                <w:rFonts w:hint="eastAsia" w:ascii="仿宋_GB2312" w:hAnsi="仿宋_GB2312" w:eastAsia="仿宋_GB2312" w:cs="仿宋_GB2312"/>
                <w:i w:val="0"/>
                <w:color w:val="000000"/>
                <w:kern w:val="0"/>
                <w:sz w:val="24"/>
                <w:szCs w:val="24"/>
                <w:u w:val="none"/>
                <w:lang w:val="en-US" w:eastAsia="zh-CN" w:bidi="ar"/>
              </w:rPr>
              <w:t>100元/件</w:t>
            </w:r>
          </w:p>
        </w:tc>
        <w:tc>
          <w:tcPr>
            <w:tcW w:w="1407"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ascii="Times New Roman" w:hAnsi="Times New Roman" w:eastAsia="宋体" w:cs="Times New Roman"/>
                <w:b/>
                <w:i w:val="0"/>
                <w:color w:val="000000"/>
                <w:sz w:val="32"/>
                <w:szCs w:val="32"/>
                <w:u w:val="none"/>
              </w:rPr>
            </w:pPr>
          </w:p>
        </w:tc>
      </w:tr>
    </w:tbl>
    <w:p>
      <w:pPr>
        <w:adjustRightInd w:val="0"/>
        <w:snapToGrid w:val="0"/>
        <w:spacing w:before="156" w:beforeLines="50" w:line="440" w:lineRule="exact"/>
        <w:ind w:right="210" w:rightChars="100"/>
        <w:rPr>
          <w:rFonts w:hint="default" w:ascii="Times New Roman" w:hAnsi="Times New Roman" w:eastAsia="方正仿宋_GBK" w:cs="Times New Roman"/>
          <w:color w:val="000000"/>
          <w:kern w:val="0"/>
          <w:sz w:val="28"/>
          <w:szCs w:val="28"/>
        </w:rPr>
      </w:pPr>
      <w:r>
        <w:rPr>
          <w:rFonts w:hint="default" w:ascii="Times New Roman" w:hAnsi="Times New Roman" w:eastAsia="方正仿宋_GBK" w:cs="Times New Roman"/>
          <w:color w:val="000000"/>
          <w:kern w:val="0"/>
          <w:sz w:val="28"/>
          <w:szCs w:val="28"/>
        </w:rPr>
        <w:t>说明：</w:t>
      </w:r>
    </w:p>
    <w:p>
      <w:pPr>
        <w:adjustRightInd w:val="0"/>
        <w:snapToGrid w:val="0"/>
        <w:spacing w:before="156" w:beforeLines="50" w:line="440" w:lineRule="exact"/>
        <w:ind w:right="210" w:rightChars="100"/>
        <w:rPr>
          <w:rFonts w:hint="default" w:ascii="Times New Roman" w:hAnsi="Times New Roman" w:eastAsia="方正仿宋_GBK" w:cs="Times New Roman"/>
          <w:color w:val="000000"/>
          <w:kern w:val="0"/>
          <w:sz w:val="28"/>
          <w:szCs w:val="28"/>
        </w:rPr>
      </w:pPr>
      <w:r>
        <w:rPr>
          <w:rFonts w:hint="default" w:ascii="Times New Roman" w:hAnsi="Times New Roman" w:eastAsia="方正仿宋_GBK" w:cs="Times New Roman"/>
          <w:color w:val="000000"/>
          <w:kern w:val="0"/>
          <w:sz w:val="28"/>
          <w:szCs w:val="28"/>
        </w:rPr>
        <w:t>1.本通知中的“件”是指所受理的一项公证事项或公证事务。</w:t>
      </w:r>
    </w:p>
    <w:p>
      <w:pPr>
        <w:adjustRightInd w:val="0"/>
        <w:snapToGrid w:val="0"/>
        <w:spacing w:before="156" w:beforeLines="50" w:line="440" w:lineRule="exact"/>
        <w:ind w:right="210" w:rightChars="100"/>
        <w:rPr>
          <w:rFonts w:hint="default" w:ascii="Times New Roman" w:hAnsi="Times New Roman" w:eastAsia="方正仿宋_GBK" w:cs="Times New Roman"/>
          <w:color w:val="000000"/>
          <w:kern w:val="0"/>
          <w:sz w:val="28"/>
          <w:szCs w:val="28"/>
        </w:rPr>
      </w:pPr>
      <w:r>
        <w:rPr>
          <w:rFonts w:hint="default" w:ascii="Times New Roman" w:hAnsi="Times New Roman" w:eastAsia="方正仿宋_GBK" w:cs="Times New Roman"/>
          <w:color w:val="000000"/>
          <w:kern w:val="0"/>
          <w:sz w:val="28"/>
          <w:szCs w:val="28"/>
        </w:rPr>
        <w:t>2.本通知附件中按财产标的额比例计费的公证服务项目优先按照比例计费，比例计费不足最低收费时按每件最低价收费。</w:t>
      </w:r>
    </w:p>
    <w:p>
      <w:pPr>
        <w:adjustRightInd w:val="0"/>
        <w:snapToGrid w:val="0"/>
        <w:spacing w:before="156" w:beforeLines="50" w:line="440" w:lineRule="exact"/>
        <w:ind w:right="210" w:rightChars="100"/>
        <w:rPr>
          <w:rFonts w:hint="default" w:ascii="Times New Roman" w:hAnsi="Times New Roman" w:eastAsia="方正仿宋_GBK" w:cs="Times New Roman"/>
          <w:color w:val="000000"/>
          <w:kern w:val="0"/>
          <w:sz w:val="28"/>
          <w:szCs w:val="28"/>
        </w:rPr>
      </w:pPr>
      <w:r>
        <w:rPr>
          <w:rFonts w:hint="default" w:ascii="Times New Roman" w:hAnsi="Times New Roman" w:eastAsia="方正仿宋_GBK" w:cs="Times New Roman"/>
          <w:color w:val="000000"/>
          <w:kern w:val="0"/>
          <w:sz w:val="28"/>
          <w:szCs w:val="28"/>
        </w:rPr>
        <w:t>3.本收费标准第2项监护协议，不包括意定监护协议，意定监护协议收费标准由公证机构制定。</w:t>
      </w:r>
    </w:p>
    <w:p/>
    <w:p/>
    <w:sectPr>
      <w:footerReference r:id="rId3" w:type="default"/>
      <w:pgSz w:w="11906" w:h="16838"/>
      <w:pgMar w:top="1928" w:right="1418" w:bottom="1814" w:left="1418"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CESI黑体-GB13000">
    <w:panose1 w:val="02000500000000000000"/>
    <w:charset w:val="86"/>
    <w:family w:val="auto"/>
    <w:pitch w:val="default"/>
    <w:sig w:usb0="800002BF" w:usb1="38CF7CF8"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hint="eastAsia"/>
        <w:sz w:val="28"/>
        <w:szCs w:val="28"/>
      </w:rPr>
    </w:pPr>
    <w:r>
      <w:rPr>
        <w:rStyle w:val="5"/>
        <w:rFonts w:hint="eastAsia"/>
        <w:sz w:val="28"/>
        <w:szCs w:val="28"/>
      </w:rPr>
      <w:t xml:space="preserve">— </w:t>
    </w:r>
    <w:r>
      <w:rPr>
        <w:sz w:val="28"/>
        <w:szCs w:val="28"/>
      </w:rPr>
      <w:fldChar w:fldCharType="begin"/>
    </w:r>
    <w:r>
      <w:rPr>
        <w:rStyle w:val="5"/>
        <w:sz w:val="28"/>
        <w:szCs w:val="28"/>
      </w:rPr>
      <w:instrText xml:space="preserve">PAGE  </w:instrText>
    </w:r>
    <w:r>
      <w:rPr>
        <w:sz w:val="28"/>
        <w:szCs w:val="28"/>
      </w:rPr>
      <w:fldChar w:fldCharType="separate"/>
    </w:r>
    <w:r>
      <w:rPr>
        <w:rStyle w:val="5"/>
        <w:sz w:val="28"/>
        <w:szCs w:val="28"/>
      </w:rPr>
      <w:t>2</w:t>
    </w:r>
    <w:r>
      <w:rPr>
        <w:sz w:val="28"/>
        <w:szCs w:val="28"/>
      </w:rPr>
      <w:fldChar w:fldCharType="end"/>
    </w:r>
    <w:r>
      <w:rPr>
        <w:rStyle w:val="5"/>
        <w:rFonts w:hint="eastAsia"/>
        <w:sz w:val="28"/>
        <w:szCs w:val="28"/>
      </w:rPr>
      <w:t xml:space="preserve"> —</w:t>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FFD8C8"/>
    <w:rsid w:val="FFFFD8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 w:type="character" w:customStyle="1" w:styleId="6">
    <w:name w:val="font51"/>
    <w:basedOn w:val="4"/>
    <w:qFormat/>
    <w:uiPriority w:val="0"/>
    <w:rPr>
      <w:rFonts w:hint="eastAsia" w:ascii="仿宋_GB2312" w:eastAsia="仿宋_GB2312" w:cs="仿宋_GB2312"/>
      <w:color w:val="000000"/>
      <w:sz w:val="32"/>
      <w:szCs w:val="3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2023-03-14T10:25:00Z</dcterms:created>
  <dc:creator>gxfgw</dc:creator>
  <cp:lastModifiedBy>gxfgw</cp:lastModifiedBy>
  <dcterms:modified xsi:type="dcterms:W3CDTF">2023-03-14T10:26:42Z</dcterms:modified>
  <dc:title>附件2</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