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20E35" w:rsidRPr="00F20E35" w:rsidRDefault="00F20E35" w:rsidP="00F20E35">
      <w:pPr>
        <w:adjustRightInd w:val="0"/>
        <w:snapToGrid w:val="0"/>
        <w:spacing w:line="588" w:lineRule="exact"/>
        <w:jc w:val="left"/>
        <w:outlineLvl w:val="1"/>
        <w:rPr>
          <w:rFonts w:ascii="黑体" w:eastAsia="黑体" w:hAnsi="黑体" w:cs="黑体" w:hint="eastAsia"/>
          <w:bCs/>
          <w:sz w:val="32"/>
          <w:szCs w:val="32"/>
        </w:rPr>
      </w:pPr>
      <w:r w:rsidRPr="00F20E35">
        <w:rPr>
          <w:rFonts w:ascii="黑体" w:eastAsia="黑体" w:hAnsi="黑体" w:cs="黑体" w:hint="eastAsia"/>
          <w:bCs/>
          <w:sz w:val="32"/>
          <w:szCs w:val="32"/>
        </w:rPr>
        <w:t>附件</w:t>
      </w:r>
      <w:r w:rsidR="00BB3C55">
        <w:rPr>
          <w:rFonts w:ascii="黑体" w:eastAsia="黑体" w:hAnsi="黑体" w:cs="黑体" w:hint="eastAsia"/>
          <w:bCs/>
          <w:sz w:val="32"/>
          <w:szCs w:val="32"/>
        </w:rPr>
        <w:t>1</w:t>
      </w:r>
      <w:bookmarkStart w:id="0" w:name="_GoBack"/>
      <w:bookmarkEnd w:id="0"/>
    </w:p>
    <w:p w:rsidR="00F20E35" w:rsidRPr="00F20E35" w:rsidRDefault="00F20E35" w:rsidP="00F20E35">
      <w:pPr>
        <w:adjustRightInd w:val="0"/>
        <w:snapToGrid w:val="0"/>
        <w:spacing w:line="588" w:lineRule="exact"/>
        <w:jc w:val="left"/>
        <w:outlineLvl w:val="1"/>
        <w:rPr>
          <w:rFonts w:ascii="方正小标宋简体" w:eastAsia="方正小标宋简体" w:hAnsi="方正小标宋简体" w:cs="方正小标宋简体"/>
          <w:bCs/>
          <w:sz w:val="44"/>
          <w:szCs w:val="44"/>
        </w:rPr>
      </w:pPr>
    </w:p>
    <w:p w:rsidR="00F20E35" w:rsidRPr="00F20E35" w:rsidRDefault="00F20E35" w:rsidP="00F20E35">
      <w:pPr>
        <w:adjustRightInd w:val="0"/>
        <w:snapToGrid w:val="0"/>
        <w:spacing w:line="700" w:lineRule="exact"/>
        <w:jc w:val="center"/>
        <w:outlineLvl w:val="1"/>
        <w:rPr>
          <w:rFonts w:ascii="方正小标宋简体" w:eastAsia="方正小标宋简体" w:hAnsi="方正小标宋简体" w:cs="方正小标宋简体"/>
          <w:bCs/>
          <w:sz w:val="44"/>
          <w:szCs w:val="44"/>
        </w:rPr>
      </w:pPr>
      <w:r w:rsidRPr="00F20E35">
        <w:rPr>
          <w:rFonts w:ascii="方正小标宋简体" w:eastAsia="方正小标宋简体" w:hAnsi="方正小标宋简体" w:cs="方正小标宋简体" w:hint="eastAsia"/>
          <w:bCs/>
          <w:sz w:val="44"/>
          <w:szCs w:val="44"/>
        </w:rPr>
        <w:t>广西壮族自治区城镇管道燃气配气</w:t>
      </w:r>
    </w:p>
    <w:p w:rsidR="00F20E35" w:rsidRPr="00F20E35" w:rsidRDefault="00F20E35" w:rsidP="00F20E35">
      <w:pPr>
        <w:adjustRightInd w:val="0"/>
        <w:snapToGrid w:val="0"/>
        <w:spacing w:line="700" w:lineRule="exact"/>
        <w:jc w:val="center"/>
        <w:outlineLvl w:val="1"/>
        <w:rPr>
          <w:rFonts w:ascii="仿宋_GB2312" w:eastAsia="仿宋_GB2312" w:hAnsi="仿宋_GB2312" w:cs="仿宋_GB2312"/>
          <w:bCs/>
          <w:sz w:val="32"/>
          <w:szCs w:val="32"/>
        </w:rPr>
      </w:pPr>
      <w:r w:rsidRPr="00F20E35">
        <w:rPr>
          <w:rFonts w:ascii="方正小标宋简体" w:eastAsia="方正小标宋简体" w:hAnsi="方正小标宋简体" w:cs="方正小标宋简体" w:hint="eastAsia"/>
          <w:bCs/>
          <w:sz w:val="44"/>
          <w:szCs w:val="44"/>
        </w:rPr>
        <w:t>定价成本监审办法</w:t>
      </w:r>
    </w:p>
    <w:p w:rsidR="00F20E35" w:rsidRPr="00F20E35" w:rsidRDefault="00F20E35" w:rsidP="00F20E35">
      <w:pPr>
        <w:adjustRightInd w:val="0"/>
        <w:snapToGrid w:val="0"/>
        <w:spacing w:line="700" w:lineRule="exact"/>
        <w:ind w:firstLineChars="800" w:firstLine="2560"/>
        <w:rPr>
          <w:rFonts w:ascii="仿宋_GB2312" w:eastAsia="仿宋_GB2312" w:hAnsi="仿宋_GB2312" w:cs="仿宋_GB2312"/>
          <w:sz w:val="32"/>
          <w:szCs w:val="32"/>
        </w:rPr>
      </w:pPr>
      <w:r w:rsidRPr="00F20E35">
        <w:rPr>
          <w:rFonts w:ascii="仿宋_GB2312" w:eastAsia="仿宋_GB2312" w:hAnsi="仿宋_GB2312" w:cs="仿宋_GB2312" w:hint="eastAsia"/>
          <w:sz w:val="32"/>
          <w:szCs w:val="32"/>
        </w:rPr>
        <w:t>（修订</w:t>
      </w:r>
      <w:r w:rsidRPr="00F20E35">
        <w:rPr>
          <w:rFonts w:ascii="仿宋_GB2312" w:eastAsia="仿宋_GB2312" w:hAnsi="仿宋_GB2312" w:cs="仿宋_GB2312"/>
          <w:sz w:val="32"/>
          <w:szCs w:val="32"/>
        </w:rPr>
        <w:t>征求意见稿</w:t>
      </w:r>
      <w:r w:rsidRPr="00F20E35">
        <w:rPr>
          <w:rFonts w:ascii="仿宋_GB2312" w:eastAsia="仿宋_GB2312" w:hAnsi="仿宋_GB2312" w:cs="仿宋_GB2312" w:hint="eastAsia"/>
          <w:sz w:val="32"/>
          <w:szCs w:val="32"/>
        </w:rPr>
        <w:t>）</w:t>
      </w:r>
    </w:p>
    <w:p w:rsidR="00F20E35" w:rsidRPr="00F20E35" w:rsidRDefault="00F20E35" w:rsidP="00F20E35">
      <w:pPr>
        <w:adjustRightInd w:val="0"/>
        <w:snapToGrid w:val="0"/>
        <w:spacing w:line="700" w:lineRule="exact"/>
        <w:ind w:firstLineChars="800" w:firstLine="2560"/>
        <w:rPr>
          <w:rFonts w:ascii="仿宋_GB2312" w:eastAsia="仿宋_GB2312" w:hAnsi="仿宋_GB2312" w:cs="仿宋_GB2312" w:hint="eastAsia"/>
          <w:sz w:val="32"/>
          <w:szCs w:val="32"/>
        </w:rPr>
      </w:pPr>
    </w:p>
    <w:p w:rsidR="00F20E35" w:rsidRPr="00F20E35" w:rsidRDefault="00F20E35" w:rsidP="00F20E35">
      <w:pPr>
        <w:keepNext/>
        <w:keepLines/>
        <w:adjustRightInd w:val="0"/>
        <w:snapToGrid w:val="0"/>
        <w:spacing w:line="588" w:lineRule="exact"/>
        <w:jc w:val="center"/>
        <w:outlineLvl w:val="2"/>
        <w:rPr>
          <w:rFonts w:ascii="黑体" w:eastAsia="黑体" w:hAnsi="黑体" w:cs="黑体"/>
          <w:bCs/>
          <w:sz w:val="32"/>
          <w:szCs w:val="32"/>
        </w:rPr>
      </w:pPr>
      <w:r w:rsidRPr="00F20E35">
        <w:rPr>
          <w:rFonts w:ascii="黑体" w:eastAsia="黑体" w:hAnsi="黑体" w:cs="黑体" w:hint="eastAsia"/>
          <w:bCs/>
          <w:sz w:val="32"/>
          <w:szCs w:val="32"/>
        </w:rPr>
        <w:t>第一章　总　则</w:t>
      </w:r>
    </w:p>
    <w:p w:rsidR="00F20E35" w:rsidRPr="00F20E35" w:rsidRDefault="00F20E35" w:rsidP="00F20E35">
      <w:pPr>
        <w:adjustRightInd w:val="0"/>
        <w:snapToGrid w:val="0"/>
        <w:spacing w:line="588" w:lineRule="exact"/>
        <w:ind w:firstLineChars="200" w:firstLine="640"/>
        <w:rPr>
          <w:rFonts w:ascii="黑体" w:eastAsia="黑体" w:hAnsi="黑体" w:cs="黑体"/>
          <w:bCs/>
          <w:sz w:val="32"/>
          <w:szCs w:val="32"/>
        </w:rPr>
      </w:pPr>
    </w:p>
    <w:p w:rsidR="00F20E35" w:rsidRPr="00F20E35" w:rsidRDefault="00F20E35" w:rsidP="00F20E35">
      <w:pPr>
        <w:adjustRightInd w:val="0"/>
        <w:snapToGrid w:val="0"/>
        <w:spacing w:line="588" w:lineRule="exact"/>
        <w:ind w:firstLineChars="200" w:firstLine="640"/>
        <w:rPr>
          <w:rFonts w:ascii="仿宋_GB2312" w:eastAsia="仿宋_GB2312" w:hAnsi="仿宋_GB2312" w:cs="仿宋_GB2312"/>
          <w:sz w:val="32"/>
          <w:szCs w:val="32"/>
        </w:rPr>
      </w:pPr>
      <w:r w:rsidRPr="00F20E35">
        <w:rPr>
          <w:rFonts w:ascii="黑体" w:eastAsia="黑体" w:hAnsi="黑体" w:cs="黑体" w:hint="eastAsia"/>
          <w:bCs/>
          <w:sz w:val="32"/>
          <w:szCs w:val="32"/>
        </w:rPr>
        <w:t>第一条</w:t>
      </w:r>
      <w:r w:rsidRPr="00F20E35">
        <w:rPr>
          <w:rFonts w:ascii="仿宋_GB2312" w:eastAsia="仿宋_GB2312" w:hAnsi="仿宋_GB2312" w:cs="仿宋_GB2312" w:hint="eastAsia"/>
          <w:sz w:val="32"/>
          <w:szCs w:val="32"/>
        </w:rPr>
        <w:t xml:space="preserve">　为加强城镇管道燃气配气成本监管，规范定价成本监审行为，提高政府价格决策的科学性，根据《中华人民共和国价格法》《政府制定价格成本监审办法》《广西壮族自治区城镇管道燃气配气价格管理办法》等有关规定，制定本办法。</w:t>
      </w:r>
    </w:p>
    <w:p w:rsidR="00F20E35" w:rsidRPr="00F20E35" w:rsidRDefault="00F20E35" w:rsidP="00F20E35">
      <w:pPr>
        <w:adjustRightInd w:val="0"/>
        <w:snapToGrid w:val="0"/>
        <w:spacing w:line="588" w:lineRule="exact"/>
        <w:ind w:firstLineChars="200" w:firstLine="640"/>
        <w:rPr>
          <w:rFonts w:ascii="仿宋_GB2312" w:eastAsia="仿宋_GB2312" w:hAnsi="仿宋_GB2312" w:cs="仿宋_GB2312"/>
          <w:sz w:val="32"/>
          <w:szCs w:val="32"/>
        </w:rPr>
      </w:pPr>
      <w:r w:rsidRPr="00F20E35">
        <w:rPr>
          <w:rFonts w:ascii="黑体" w:eastAsia="黑体" w:hAnsi="黑体" w:cs="黑体" w:hint="eastAsia"/>
          <w:bCs/>
          <w:sz w:val="32"/>
          <w:szCs w:val="32"/>
        </w:rPr>
        <w:t>第二条</w:t>
      </w:r>
      <w:r w:rsidRPr="00F20E35">
        <w:rPr>
          <w:rFonts w:ascii="仿宋_GB2312" w:eastAsia="仿宋_GB2312" w:hAnsi="仿宋_GB2312" w:cs="仿宋_GB2312" w:hint="eastAsia"/>
          <w:sz w:val="32"/>
          <w:szCs w:val="32"/>
        </w:rPr>
        <w:t xml:space="preserve">　本办法适用于自治区各级政府价格主管部门按照定价权限实施城镇管道燃气配气定价成本监审的行为。</w:t>
      </w:r>
    </w:p>
    <w:p w:rsidR="00F20E35" w:rsidRPr="00F20E35" w:rsidRDefault="00F20E35" w:rsidP="00F20E35">
      <w:pPr>
        <w:adjustRightInd w:val="0"/>
        <w:snapToGrid w:val="0"/>
        <w:spacing w:line="588" w:lineRule="exact"/>
        <w:ind w:firstLineChars="200" w:firstLine="640"/>
        <w:rPr>
          <w:rFonts w:ascii="仿宋_GB2312" w:eastAsia="仿宋_GB2312" w:hAnsi="仿宋_GB2312" w:cs="仿宋_GB2312"/>
          <w:sz w:val="32"/>
          <w:szCs w:val="32"/>
        </w:rPr>
      </w:pPr>
      <w:r w:rsidRPr="00F20E35">
        <w:rPr>
          <w:rFonts w:ascii="黑体" w:eastAsia="黑体" w:hAnsi="黑体" w:cs="黑体" w:hint="eastAsia"/>
          <w:bCs/>
          <w:sz w:val="32"/>
          <w:szCs w:val="32"/>
        </w:rPr>
        <w:t>第三条</w:t>
      </w:r>
      <w:r w:rsidRPr="00F20E35">
        <w:rPr>
          <w:rFonts w:ascii="仿宋_GB2312" w:eastAsia="仿宋_GB2312" w:hAnsi="仿宋_GB2312" w:cs="仿宋_GB2312" w:hint="eastAsia"/>
          <w:sz w:val="32"/>
          <w:szCs w:val="32"/>
        </w:rPr>
        <w:t xml:space="preserve">　本办法所称城镇管道燃气配气（以下简称配气）定价成本，是指政府价格主管部门核定城镇燃气经营者通过城镇燃气管网（包括延伸至乡镇的管网）向用户配送燃气业务所发生的合理费用支出，是政府制定价格的基本依据。</w:t>
      </w:r>
    </w:p>
    <w:p w:rsidR="00F20E35" w:rsidRPr="00F20E35" w:rsidRDefault="00F20E35" w:rsidP="00F20E35">
      <w:pPr>
        <w:adjustRightInd w:val="0"/>
        <w:snapToGrid w:val="0"/>
        <w:spacing w:line="588" w:lineRule="exact"/>
        <w:ind w:firstLineChars="200" w:firstLine="640"/>
        <w:rPr>
          <w:rFonts w:ascii="仿宋_GB2312" w:eastAsia="仿宋_GB2312" w:hAnsi="仿宋_GB2312" w:cs="仿宋_GB2312"/>
          <w:sz w:val="32"/>
          <w:szCs w:val="32"/>
        </w:rPr>
      </w:pPr>
      <w:r w:rsidRPr="00F20E35">
        <w:rPr>
          <w:rFonts w:ascii="黑体" w:eastAsia="黑体" w:hAnsi="黑体" w:cs="黑体" w:hint="eastAsia"/>
          <w:bCs/>
          <w:sz w:val="32"/>
          <w:szCs w:val="32"/>
        </w:rPr>
        <w:t>第四条</w:t>
      </w:r>
      <w:r w:rsidRPr="00F20E35">
        <w:rPr>
          <w:rFonts w:ascii="仿宋_GB2312" w:eastAsia="仿宋_GB2312" w:hAnsi="仿宋_GB2312" w:cs="仿宋_GB2312" w:hint="eastAsia"/>
          <w:sz w:val="32"/>
          <w:szCs w:val="32"/>
        </w:rPr>
        <w:t xml:space="preserve">　各级政府价格主管部门负责组织实施本级定价权限范围内的配气定价成本监审，履行主体责任，对成本监审结论负责。</w:t>
      </w:r>
    </w:p>
    <w:p w:rsidR="00F20E35" w:rsidRPr="00F20E35" w:rsidRDefault="00F20E35" w:rsidP="00F20E35">
      <w:pPr>
        <w:adjustRightInd w:val="0"/>
        <w:snapToGrid w:val="0"/>
        <w:spacing w:line="588" w:lineRule="exact"/>
        <w:ind w:firstLineChars="200" w:firstLine="640"/>
        <w:rPr>
          <w:rFonts w:ascii="仿宋_GB2312" w:eastAsia="仿宋_GB2312" w:hAnsi="仿宋_GB2312" w:cs="仿宋_GB2312"/>
          <w:sz w:val="32"/>
          <w:szCs w:val="32"/>
        </w:rPr>
      </w:pPr>
      <w:r w:rsidRPr="00F20E35">
        <w:rPr>
          <w:rFonts w:ascii="黑体" w:eastAsia="黑体" w:hAnsi="黑体" w:cs="黑体" w:hint="eastAsia"/>
          <w:bCs/>
          <w:sz w:val="32"/>
          <w:szCs w:val="32"/>
        </w:rPr>
        <w:t>第五条</w:t>
      </w:r>
      <w:r w:rsidRPr="00F20E35">
        <w:rPr>
          <w:rFonts w:ascii="仿宋_GB2312" w:eastAsia="仿宋_GB2312" w:hAnsi="仿宋_GB2312" w:cs="仿宋_GB2312" w:hint="eastAsia"/>
          <w:sz w:val="32"/>
          <w:szCs w:val="32"/>
        </w:rPr>
        <w:t xml:space="preserve">　核定配气定价成本应遵循以下原则：</w:t>
      </w:r>
    </w:p>
    <w:p w:rsidR="00F20E35" w:rsidRPr="00F20E35" w:rsidRDefault="00F20E35" w:rsidP="00F20E35">
      <w:pPr>
        <w:adjustRightInd w:val="0"/>
        <w:snapToGrid w:val="0"/>
        <w:spacing w:line="588" w:lineRule="exact"/>
        <w:ind w:firstLineChars="200" w:firstLine="640"/>
        <w:rPr>
          <w:rFonts w:ascii="仿宋_GB2312" w:eastAsia="仿宋_GB2312" w:hAnsi="仿宋_GB2312" w:cs="仿宋_GB2312"/>
          <w:sz w:val="32"/>
          <w:szCs w:val="32"/>
        </w:rPr>
      </w:pPr>
      <w:r w:rsidRPr="00F20E35">
        <w:rPr>
          <w:rFonts w:ascii="仿宋_GB2312" w:eastAsia="仿宋_GB2312" w:hAnsi="仿宋_GB2312" w:cs="仿宋_GB2312" w:hint="eastAsia"/>
          <w:sz w:val="32"/>
          <w:szCs w:val="32"/>
        </w:rPr>
        <w:lastRenderedPageBreak/>
        <w:t>（一）合法性。计入定价成本的费用应当符合有关法律、法规，财务制度和国家统一的会计制度，以及价格监管制度等规定。</w:t>
      </w:r>
    </w:p>
    <w:p w:rsidR="00F20E35" w:rsidRPr="00F20E35" w:rsidRDefault="00F20E35" w:rsidP="00F20E35">
      <w:pPr>
        <w:adjustRightInd w:val="0"/>
        <w:snapToGrid w:val="0"/>
        <w:spacing w:line="588" w:lineRule="exact"/>
        <w:ind w:firstLineChars="200" w:firstLine="640"/>
        <w:rPr>
          <w:rFonts w:ascii="仿宋_GB2312" w:eastAsia="仿宋_GB2312" w:hAnsi="仿宋_GB2312" w:cs="仿宋_GB2312"/>
          <w:sz w:val="32"/>
          <w:szCs w:val="32"/>
        </w:rPr>
      </w:pPr>
      <w:r w:rsidRPr="00F20E35">
        <w:rPr>
          <w:rFonts w:ascii="仿宋_GB2312" w:eastAsia="仿宋_GB2312" w:hAnsi="仿宋_GB2312" w:cs="仿宋_GB2312" w:hint="eastAsia"/>
          <w:sz w:val="32"/>
          <w:szCs w:val="32"/>
        </w:rPr>
        <w:t>（二）相关性。计入定价成本的费用应当与配气生产经营过程直接相关或者间接相关。</w:t>
      </w:r>
    </w:p>
    <w:p w:rsidR="00F20E35" w:rsidRPr="00F20E35" w:rsidRDefault="00F20E35" w:rsidP="00F20E35">
      <w:pPr>
        <w:adjustRightInd w:val="0"/>
        <w:snapToGrid w:val="0"/>
        <w:spacing w:line="588" w:lineRule="exact"/>
        <w:ind w:firstLineChars="200" w:firstLine="640"/>
        <w:rPr>
          <w:rFonts w:ascii="仿宋_GB2312" w:eastAsia="仿宋_GB2312" w:hAnsi="仿宋_GB2312" w:cs="仿宋_GB2312"/>
          <w:sz w:val="32"/>
          <w:szCs w:val="32"/>
        </w:rPr>
      </w:pPr>
      <w:r w:rsidRPr="00F20E35">
        <w:rPr>
          <w:rFonts w:ascii="仿宋_GB2312" w:eastAsia="仿宋_GB2312" w:hAnsi="仿宋_GB2312" w:cs="仿宋_GB2312" w:hint="eastAsia"/>
          <w:sz w:val="32"/>
          <w:szCs w:val="32"/>
        </w:rPr>
        <w:t>（三）合理性。计入定价成本的费用应当反映配气生产经营活动正常需要，并按照合理方法和合理标准核算；影响定价成本水平的主要技术、经济指标应当符合行业标准或者公允水平。</w:t>
      </w:r>
    </w:p>
    <w:p w:rsidR="00F20E35" w:rsidRPr="00F20E35" w:rsidRDefault="00F20E35" w:rsidP="00F20E35">
      <w:pPr>
        <w:adjustRightInd w:val="0"/>
        <w:snapToGrid w:val="0"/>
        <w:spacing w:line="588" w:lineRule="exact"/>
        <w:ind w:firstLineChars="200" w:firstLine="640"/>
        <w:rPr>
          <w:rFonts w:ascii="仿宋_GB2312" w:eastAsia="仿宋_GB2312" w:hAnsi="仿宋_GB2312" w:cs="仿宋_GB2312"/>
          <w:sz w:val="32"/>
          <w:szCs w:val="32"/>
        </w:rPr>
      </w:pPr>
      <w:r w:rsidRPr="00F20E35">
        <w:rPr>
          <w:rFonts w:ascii="黑体" w:eastAsia="黑体" w:hAnsi="黑体" w:cs="黑体" w:hint="eastAsia"/>
          <w:bCs/>
          <w:sz w:val="32"/>
          <w:szCs w:val="32"/>
        </w:rPr>
        <w:t>第六条</w:t>
      </w:r>
      <w:r w:rsidRPr="00F20E35">
        <w:rPr>
          <w:rFonts w:ascii="仿宋_GB2312" w:eastAsia="仿宋_GB2312" w:hAnsi="仿宋_GB2312" w:cs="仿宋_GB2312" w:hint="eastAsia"/>
          <w:sz w:val="32"/>
          <w:szCs w:val="32"/>
        </w:rPr>
        <w:t xml:space="preserve">　核定配气定价成本，原则上应当以近三年经会计师事务所审计或政府有关部门审核的年度财务会计报告、手续齐备的原始凭证、账册，以及经营者提供的合法、真实、完整、有效的其他成本相关资料为基础。</w:t>
      </w:r>
    </w:p>
    <w:p w:rsidR="00F20E35" w:rsidRPr="00F20E35" w:rsidRDefault="00F20E35" w:rsidP="00F20E35">
      <w:pPr>
        <w:adjustRightInd w:val="0"/>
        <w:snapToGrid w:val="0"/>
        <w:spacing w:line="588" w:lineRule="exact"/>
        <w:ind w:firstLineChars="200" w:firstLine="640"/>
        <w:rPr>
          <w:rFonts w:ascii="仿宋_GB2312" w:eastAsia="仿宋_GB2312" w:hAnsi="仿宋_GB2312" w:cs="仿宋_GB2312"/>
          <w:sz w:val="32"/>
          <w:szCs w:val="32"/>
        </w:rPr>
      </w:pPr>
      <w:r w:rsidRPr="00F20E35">
        <w:rPr>
          <w:rFonts w:ascii="黑体" w:eastAsia="黑体" w:hAnsi="黑体" w:cs="黑体" w:hint="eastAsia"/>
          <w:bCs/>
          <w:sz w:val="32"/>
          <w:szCs w:val="32"/>
        </w:rPr>
        <w:t>第七条</w:t>
      </w:r>
      <w:r w:rsidRPr="00F20E35">
        <w:rPr>
          <w:rFonts w:ascii="仿宋_GB2312" w:eastAsia="仿宋_GB2312" w:hAnsi="仿宋_GB2312" w:cs="仿宋_GB2312" w:hint="eastAsia"/>
          <w:sz w:val="32"/>
          <w:szCs w:val="32"/>
        </w:rPr>
        <w:t xml:space="preserve">　经营者应当建立健全独立的配气成本核算制度，完整准确记录配气生产经营成本和收入。</w:t>
      </w:r>
    </w:p>
    <w:p w:rsidR="00F20E35" w:rsidRPr="00F20E35" w:rsidRDefault="00F20E35" w:rsidP="00F20E35">
      <w:pPr>
        <w:adjustRightInd w:val="0"/>
        <w:snapToGrid w:val="0"/>
        <w:spacing w:line="588" w:lineRule="exact"/>
        <w:ind w:firstLineChars="200" w:firstLine="640"/>
        <w:rPr>
          <w:rFonts w:ascii="仿宋_GB2312" w:eastAsia="仿宋_GB2312" w:hAnsi="仿宋_GB2312" w:cs="仿宋_GB2312"/>
          <w:sz w:val="32"/>
          <w:szCs w:val="32"/>
        </w:rPr>
      </w:pPr>
      <w:r w:rsidRPr="00F20E35">
        <w:rPr>
          <w:rFonts w:ascii="黑体" w:eastAsia="黑体" w:hAnsi="黑体" w:cs="黑体" w:hint="eastAsia"/>
          <w:bCs/>
          <w:sz w:val="32"/>
          <w:szCs w:val="32"/>
        </w:rPr>
        <w:t xml:space="preserve">第八条  </w:t>
      </w:r>
      <w:r w:rsidRPr="00F20E35">
        <w:rPr>
          <w:rFonts w:ascii="仿宋_GB2312" w:eastAsia="仿宋_GB2312" w:hAnsi="仿宋_GB2312" w:cs="仿宋_GB2312" w:hint="eastAsia"/>
          <w:sz w:val="32"/>
          <w:szCs w:val="32"/>
        </w:rPr>
        <w:t>经营者应当积极配合政府价格主管部门组织开展的成本监审工作，自收到成本监审书面通知之日起20个工作日内提供配气成本监审所需资料，并对所提供资料的真实性、合法性、完整性负责。经营者无正当理由拒绝提供，或者故意瞒报、虚报信息的，权限内价格主管部门可以中止成本监审、按照从</w:t>
      </w:r>
      <w:proofErr w:type="gramStart"/>
      <w:r w:rsidRPr="00F20E35">
        <w:rPr>
          <w:rFonts w:ascii="仿宋_GB2312" w:eastAsia="仿宋_GB2312" w:hAnsi="仿宋_GB2312" w:cs="仿宋_GB2312" w:hint="eastAsia"/>
          <w:sz w:val="32"/>
          <w:szCs w:val="32"/>
        </w:rPr>
        <w:t>低原则</w:t>
      </w:r>
      <w:proofErr w:type="gramEnd"/>
      <w:r w:rsidRPr="00F20E35">
        <w:rPr>
          <w:rFonts w:ascii="仿宋_GB2312" w:eastAsia="仿宋_GB2312" w:hAnsi="仿宋_GB2312" w:cs="仿宋_GB2312" w:hint="eastAsia"/>
          <w:sz w:val="32"/>
          <w:szCs w:val="32"/>
        </w:rPr>
        <w:t>核定定价成本，并提请市场监管部门依法查处，公开曝光，将其不良信用纳入广西公共信用信息等平台，实施失信联合惩戒。</w:t>
      </w:r>
    </w:p>
    <w:p w:rsidR="00F20E35" w:rsidRPr="00F20E35" w:rsidRDefault="00F20E35" w:rsidP="00F20E35">
      <w:pPr>
        <w:keepNext/>
        <w:keepLines/>
        <w:adjustRightInd w:val="0"/>
        <w:snapToGrid w:val="0"/>
        <w:spacing w:line="588" w:lineRule="exact"/>
        <w:jc w:val="center"/>
        <w:outlineLvl w:val="2"/>
        <w:rPr>
          <w:rFonts w:ascii="黑体" w:eastAsia="黑体" w:hAnsi="黑体" w:cs="黑体"/>
          <w:bCs/>
          <w:sz w:val="32"/>
          <w:szCs w:val="32"/>
        </w:rPr>
      </w:pPr>
    </w:p>
    <w:p w:rsidR="00F20E35" w:rsidRPr="00F20E35" w:rsidRDefault="00F20E35" w:rsidP="00F20E35">
      <w:pPr>
        <w:keepNext/>
        <w:keepLines/>
        <w:adjustRightInd w:val="0"/>
        <w:snapToGrid w:val="0"/>
        <w:spacing w:line="588" w:lineRule="exact"/>
        <w:jc w:val="center"/>
        <w:outlineLvl w:val="2"/>
        <w:rPr>
          <w:rFonts w:ascii="黑体" w:eastAsia="黑体" w:hAnsi="黑体" w:cs="黑体"/>
          <w:bCs/>
          <w:sz w:val="32"/>
          <w:szCs w:val="32"/>
        </w:rPr>
      </w:pPr>
      <w:r w:rsidRPr="00F20E35">
        <w:rPr>
          <w:rFonts w:ascii="黑体" w:eastAsia="黑体" w:hAnsi="黑体" w:cs="黑体" w:hint="eastAsia"/>
          <w:bCs/>
          <w:sz w:val="32"/>
          <w:szCs w:val="32"/>
        </w:rPr>
        <w:t>第二章　定价成本构成</w:t>
      </w:r>
    </w:p>
    <w:p w:rsidR="00F20E35" w:rsidRPr="00F20E35" w:rsidRDefault="00F20E35" w:rsidP="00F20E35">
      <w:pPr>
        <w:spacing w:line="588" w:lineRule="exact"/>
        <w:rPr>
          <w:rFonts w:ascii="Calibri" w:eastAsia="宋体" w:hAnsi="Calibri" w:cs="Times New Roman"/>
        </w:rPr>
      </w:pPr>
    </w:p>
    <w:p w:rsidR="00F20E35" w:rsidRPr="00F20E35" w:rsidRDefault="00F20E35" w:rsidP="00F20E35">
      <w:pPr>
        <w:adjustRightInd w:val="0"/>
        <w:snapToGrid w:val="0"/>
        <w:spacing w:line="588" w:lineRule="exact"/>
        <w:ind w:firstLineChars="200" w:firstLine="640"/>
        <w:rPr>
          <w:rFonts w:ascii="仿宋_GB2312" w:eastAsia="仿宋_GB2312" w:hAnsi="仿宋_GB2312" w:cs="仿宋_GB2312"/>
          <w:sz w:val="32"/>
          <w:szCs w:val="32"/>
        </w:rPr>
      </w:pPr>
      <w:r w:rsidRPr="00F20E35">
        <w:rPr>
          <w:rFonts w:ascii="黑体" w:eastAsia="黑体" w:hAnsi="黑体" w:cs="黑体" w:hint="eastAsia"/>
          <w:bCs/>
          <w:sz w:val="32"/>
          <w:szCs w:val="32"/>
        </w:rPr>
        <w:t>第九条</w:t>
      </w:r>
      <w:r w:rsidRPr="00F20E35">
        <w:rPr>
          <w:rFonts w:ascii="仿宋_GB2312" w:eastAsia="仿宋_GB2312" w:hAnsi="仿宋_GB2312" w:cs="仿宋_GB2312" w:hint="eastAsia"/>
          <w:sz w:val="32"/>
          <w:szCs w:val="32"/>
        </w:rPr>
        <w:t xml:space="preserve">　配气定价成本由折旧及摊销费、运行维护费构成。</w:t>
      </w:r>
    </w:p>
    <w:p w:rsidR="00F20E35" w:rsidRPr="00F20E35" w:rsidRDefault="00F20E35" w:rsidP="00F20E35">
      <w:pPr>
        <w:adjustRightInd w:val="0"/>
        <w:snapToGrid w:val="0"/>
        <w:spacing w:line="588" w:lineRule="exact"/>
        <w:ind w:firstLineChars="200" w:firstLine="640"/>
        <w:rPr>
          <w:rFonts w:ascii="仿宋_GB2312" w:eastAsia="仿宋_GB2312" w:hAnsi="仿宋_GB2312" w:cs="仿宋_GB2312"/>
          <w:sz w:val="32"/>
          <w:szCs w:val="32"/>
        </w:rPr>
      </w:pPr>
      <w:r w:rsidRPr="00F20E35">
        <w:rPr>
          <w:rFonts w:ascii="黑体" w:eastAsia="黑体" w:hAnsi="黑体" w:cs="黑体" w:hint="eastAsia"/>
          <w:bCs/>
          <w:sz w:val="32"/>
          <w:szCs w:val="32"/>
        </w:rPr>
        <w:t>第十条</w:t>
      </w:r>
      <w:r w:rsidRPr="00F20E35">
        <w:rPr>
          <w:rFonts w:ascii="仿宋_GB2312" w:eastAsia="仿宋_GB2312" w:hAnsi="仿宋_GB2312" w:cs="仿宋_GB2312" w:hint="eastAsia"/>
          <w:sz w:val="32"/>
          <w:szCs w:val="32"/>
        </w:rPr>
        <w:t xml:space="preserve">　折旧及摊销费指与配气服务相关的固定资产原值、无形资产原值按照规定的折旧和摊销年限计提的费用，包括管理费用和销售费用中的折旧及摊销费。</w:t>
      </w:r>
    </w:p>
    <w:p w:rsidR="00F20E35" w:rsidRPr="00F20E35" w:rsidRDefault="00F20E35" w:rsidP="00F20E35">
      <w:pPr>
        <w:adjustRightInd w:val="0"/>
        <w:snapToGrid w:val="0"/>
        <w:spacing w:line="588" w:lineRule="exact"/>
        <w:ind w:firstLineChars="200" w:firstLine="640"/>
        <w:rPr>
          <w:rFonts w:ascii="仿宋_GB2312" w:eastAsia="仿宋_GB2312" w:hAnsi="仿宋_GB2312" w:cs="仿宋_GB2312"/>
          <w:sz w:val="32"/>
          <w:szCs w:val="32"/>
        </w:rPr>
      </w:pPr>
      <w:r w:rsidRPr="00F20E35">
        <w:rPr>
          <w:rFonts w:ascii="黑体" w:eastAsia="黑体" w:hAnsi="黑体" w:cs="黑体" w:hint="eastAsia"/>
          <w:bCs/>
          <w:sz w:val="32"/>
          <w:szCs w:val="32"/>
        </w:rPr>
        <w:t>第十一条</w:t>
      </w:r>
      <w:r w:rsidRPr="00F20E35">
        <w:rPr>
          <w:rFonts w:ascii="仿宋_GB2312" w:eastAsia="仿宋_GB2312" w:hAnsi="仿宋_GB2312" w:cs="仿宋_GB2312" w:hint="eastAsia"/>
          <w:sz w:val="32"/>
          <w:szCs w:val="32"/>
        </w:rPr>
        <w:t xml:space="preserve">　运行维护费指维持配气正常运行所发生的费用。包括直接配气成本、管理费用、销售费用、纳入定价成本的相关税金。</w:t>
      </w:r>
    </w:p>
    <w:p w:rsidR="00F20E35" w:rsidRPr="00F20E35" w:rsidRDefault="00F20E35" w:rsidP="00F20E35">
      <w:pPr>
        <w:adjustRightInd w:val="0"/>
        <w:snapToGrid w:val="0"/>
        <w:spacing w:line="588" w:lineRule="exact"/>
        <w:ind w:firstLineChars="200" w:firstLine="640"/>
        <w:rPr>
          <w:rFonts w:ascii="仿宋_GB2312" w:eastAsia="仿宋_GB2312" w:hAnsi="仿宋_GB2312" w:cs="仿宋_GB2312"/>
          <w:sz w:val="32"/>
          <w:szCs w:val="32"/>
        </w:rPr>
      </w:pPr>
      <w:r w:rsidRPr="00F20E35">
        <w:rPr>
          <w:rFonts w:ascii="仿宋_GB2312" w:eastAsia="仿宋_GB2312" w:hAnsi="仿宋_GB2312" w:cs="仿宋_GB2312" w:hint="eastAsia"/>
          <w:sz w:val="32"/>
          <w:szCs w:val="32"/>
        </w:rPr>
        <w:t>其中建筑区内划红线内按法律法规规定由经营者承担的运行维护成本计入定价成本，包括为排除用气安全隐患而更换燃气计量</w:t>
      </w:r>
      <w:proofErr w:type="gramStart"/>
      <w:r w:rsidRPr="00F20E35">
        <w:rPr>
          <w:rFonts w:ascii="仿宋_GB2312" w:eastAsia="仿宋_GB2312" w:hAnsi="仿宋_GB2312" w:cs="仿宋_GB2312" w:hint="eastAsia"/>
          <w:sz w:val="32"/>
          <w:szCs w:val="32"/>
        </w:rPr>
        <w:t>表具产生</w:t>
      </w:r>
      <w:proofErr w:type="gramEnd"/>
      <w:r w:rsidRPr="00F20E35">
        <w:rPr>
          <w:rFonts w:ascii="仿宋_GB2312" w:eastAsia="仿宋_GB2312" w:hAnsi="仿宋_GB2312" w:cs="仿宋_GB2312" w:hint="eastAsia"/>
          <w:sz w:val="32"/>
          <w:szCs w:val="32"/>
        </w:rPr>
        <w:t>的成本。</w:t>
      </w:r>
    </w:p>
    <w:p w:rsidR="00F20E35" w:rsidRPr="00F20E35" w:rsidRDefault="00F20E35" w:rsidP="00F20E35">
      <w:pPr>
        <w:adjustRightInd w:val="0"/>
        <w:snapToGrid w:val="0"/>
        <w:spacing w:line="588" w:lineRule="exact"/>
        <w:ind w:firstLineChars="200" w:firstLine="640"/>
        <w:rPr>
          <w:rFonts w:ascii="仿宋_GB2312" w:eastAsia="仿宋_GB2312" w:hAnsi="仿宋_GB2312" w:cs="仿宋_GB2312"/>
          <w:sz w:val="32"/>
          <w:szCs w:val="32"/>
        </w:rPr>
      </w:pPr>
      <w:r w:rsidRPr="00F20E35">
        <w:rPr>
          <w:rFonts w:ascii="仿宋_GB2312" w:eastAsia="仿宋_GB2312" w:hAnsi="仿宋_GB2312" w:cs="仿宋_GB2312" w:hint="eastAsia"/>
          <w:sz w:val="32"/>
          <w:szCs w:val="32"/>
        </w:rPr>
        <w:t>（一）直接配气成本，是指经营者向用户配气服务过程中所发生的各项费用，包括材料费、燃料动力费、职工薪酬、修理费、安全生产费、机物料消耗、低值易耗品摊销、质量检测费等。</w:t>
      </w:r>
    </w:p>
    <w:p w:rsidR="00F20E35" w:rsidRPr="00F20E35" w:rsidRDefault="00F20E35" w:rsidP="00F20E35">
      <w:pPr>
        <w:adjustRightInd w:val="0"/>
        <w:snapToGrid w:val="0"/>
        <w:spacing w:line="588" w:lineRule="exact"/>
        <w:ind w:firstLineChars="200" w:firstLine="640"/>
        <w:rPr>
          <w:rFonts w:ascii="仿宋_GB2312" w:eastAsia="仿宋_GB2312" w:hAnsi="仿宋_GB2312" w:cs="仿宋_GB2312"/>
          <w:sz w:val="32"/>
          <w:szCs w:val="32"/>
        </w:rPr>
      </w:pPr>
      <w:r w:rsidRPr="00F20E35">
        <w:rPr>
          <w:rFonts w:ascii="仿宋_GB2312" w:eastAsia="仿宋_GB2312" w:hAnsi="仿宋_GB2312" w:cs="仿宋_GB2312" w:hint="eastAsia"/>
          <w:sz w:val="32"/>
          <w:szCs w:val="32"/>
        </w:rPr>
        <w:t>（二）管理费用，是指经营者为组织和管理配气服务所发生的费用，包括管理部门职工薪酬、修理费、业务招待费、办公费、水电费、租赁费、会议费、差旅费、低值易耗品摊销、财产保险费等，不含折旧及摊销费。</w:t>
      </w:r>
    </w:p>
    <w:p w:rsidR="00F20E35" w:rsidRPr="00F20E35" w:rsidRDefault="00F20E35" w:rsidP="00F20E35">
      <w:pPr>
        <w:adjustRightInd w:val="0"/>
        <w:snapToGrid w:val="0"/>
        <w:spacing w:line="588" w:lineRule="exact"/>
        <w:ind w:firstLineChars="200" w:firstLine="640"/>
        <w:rPr>
          <w:rFonts w:ascii="仿宋_GB2312" w:eastAsia="仿宋_GB2312" w:hAnsi="仿宋_GB2312" w:cs="仿宋_GB2312"/>
          <w:sz w:val="32"/>
          <w:szCs w:val="32"/>
        </w:rPr>
      </w:pPr>
      <w:r w:rsidRPr="00F20E35">
        <w:rPr>
          <w:rFonts w:ascii="仿宋_GB2312" w:eastAsia="仿宋_GB2312" w:hAnsi="仿宋_GB2312" w:cs="仿宋_GB2312" w:hint="eastAsia"/>
          <w:sz w:val="32"/>
          <w:szCs w:val="32"/>
        </w:rPr>
        <w:t>（三）销售费用，是指经营者在销售过程中发生的费用，包括销售部门职工薪酬、维修费、水电费、办公费、财产保险</w:t>
      </w:r>
      <w:r w:rsidRPr="00F20E35">
        <w:rPr>
          <w:rFonts w:ascii="仿宋_GB2312" w:eastAsia="仿宋_GB2312" w:hAnsi="仿宋_GB2312" w:cs="仿宋_GB2312" w:hint="eastAsia"/>
          <w:sz w:val="32"/>
          <w:szCs w:val="32"/>
        </w:rPr>
        <w:lastRenderedPageBreak/>
        <w:t>费、劳动保护费、宣传费、低值易耗品摊销、租赁费、差旅费等，不含折旧及摊销费。</w:t>
      </w:r>
    </w:p>
    <w:p w:rsidR="00F20E35" w:rsidRPr="00F20E35" w:rsidRDefault="00F20E35" w:rsidP="00F20E35">
      <w:pPr>
        <w:adjustRightInd w:val="0"/>
        <w:snapToGrid w:val="0"/>
        <w:spacing w:line="588" w:lineRule="exact"/>
        <w:ind w:firstLineChars="200" w:firstLine="640"/>
        <w:rPr>
          <w:rFonts w:ascii="仿宋_GB2312" w:eastAsia="仿宋_GB2312" w:hAnsi="仿宋_GB2312" w:cs="仿宋_GB2312"/>
          <w:sz w:val="32"/>
          <w:szCs w:val="32"/>
        </w:rPr>
      </w:pPr>
      <w:r w:rsidRPr="00F20E35">
        <w:rPr>
          <w:rFonts w:ascii="仿宋_GB2312" w:eastAsia="仿宋_GB2312" w:hAnsi="仿宋_GB2312" w:cs="仿宋_GB2312" w:hint="eastAsia"/>
          <w:sz w:val="32"/>
          <w:szCs w:val="32"/>
        </w:rPr>
        <w:t>（四）纳入定价成本的相关税金，包括车船使用税、房产税、土地使用税、印花税。</w:t>
      </w:r>
    </w:p>
    <w:p w:rsidR="00F20E35" w:rsidRPr="00F20E35" w:rsidRDefault="00F20E35" w:rsidP="00F20E35">
      <w:pPr>
        <w:adjustRightInd w:val="0"/>
        <w:snapToGrid w:val="0"/>
        <w:spacing w:line="588" w:lineRule="exact"/>
        <w:ind w:firstLineChars="200" w:firstLine="640"/>
        <w:rPr>
          <w:rFonts w:ascii="仿宋_GB2312" w:eastAsia="仿宋_GB2312" w:hAnsi="仿宋_GB2312" w:cs="仿宋_GB2312"/>
          <w:sz w:val="32"/>
          <w:szCs w:val="32"/>
        </w:rPr>
      </w:pPr>
      <w:r w:rsidRPr="00F20E35">
        <w:rPr>
          <w:rFonts w:ascii="黑体" w:eastAsia="黑体" w:hAnsi="黑体" w:cs="黑体" w:hint="eastAsia"/>
          <w:bCs/>
          <w:sz w:val="32"/>
          <w:szCs w:val="32"/>
        </w:rPr>
        <w:t>第十二条</w:t>
      </w:r>
      <w:r w:rsidRPr="00F20E35">
        <w:rPr>
          <w:rFonts w:ascii="仿宋_GB2312" w:eastAsia="仿宋_GB2312" w:hAnsi="仿宋_GB2312" w:cs="仿宋_GB2312" w:hint="eastAsia"/>
          <w:sz w:val="32"/>
          <w:szCs w:val="32"/>
        </w:rPr>
        <w:t xml:space="preserve">　下列费用</w:t>
      </w:r>
      <w:proofErr w:type="gramStart"/>
      <w:r w:rsidRPr="00F20E35">
        <w:rPr>
          <w:rFonts w:ascii="仿宋_GB2312" w:eastAsia="仿宋_GB2312" w:hAnsi="仿宋_GB2312" w:cs="仿宋_GB2312" w:hint="eastAsia"/>
          <w:sz w:val="32"/>
          <w:szCs w:val="32"/>
        </w:rPr>
        <w:t>不</w:t>
      </w:r>
      <w:proofErr w:type="gramEnd"/>
      <w:r w:rsidRPr="00F20E35">
        <w:rPr>
          <w:rFonts w:ascii="仿宋_GB2312" w:eastAsia="仿宋_GB2312" w:hAnsi="仿宋_GB2312" w:cs="仿宋_GB2312" w:hint="eastAsia"/>
          <w:sz w:val="32"/>
          <w:szCs w:val="32"/>
        </w:rPr>
        <w:t>得计入配气定价成本：</w:t>
      </w:r>
    </w:p>
    <w:p w:rsidR="00F20E35" w:rsidRPr="00F20E35" w:rsidRDefault="00F20E35" w:rsidP="00F20E35">
      <w:pPr>
        <w:adjustRightInd w:val="0"/>
        <w:snapToGrid w:val="0"/>
        <w:spacing w:line="588" w:lineRule="exact"/>
        <w:ind w:firstLineChars="200" w:firstLine="640"/>
        <w:rPr>
          <w:rFonts w:ascii="仿宋_GB2312" w:eastAsia="仿宋_GB2312" w:hAnsi="仿宋_GB2312" w:cs="仿宋_GB2312"/>
          <w:sz w:val="32"/>
          <w:szCs w:val="32"/>
        </w:rPr>
      </w:pPr>
      <w:r w:rsidRPr="00F20E35">
        <w:rPr>
          <w:rFonts w:ascii="仿宋_GB2312" w:eastAsia="仿宋_GB2312" w:hAnsi="仿宋_GB2312" w:cs="仿宋_GB2312" w:hint="eastAsia"/>
          <w:sz w:val="32"/>
          <w:szCs w:val="32"/>
        </w:rPr>
        <w:t>（一）不符合《中华人民共和国会计法》等有关法律法规，财务制度和国家统一的会计制度，以及价格监管制度等的费用；</w:t>
      </w:r>
    </w:p>
    <w:p w:rsidR="00F20E35" w:rsidRPr="00F20E35" w:rsidRDefault="00F20E35" w:rsidP="00F20E35">
      <w:pPr>
        <w:adjustRightInd w:val="0"/>
        <w:snapToGrid w:val="0"/>
        <w:spacing w:line="588" w:lineRule="exact"/>
        <w:ind w:firstLineChars="200" w:firstLine="640"/>
        <w:rPr>
          <w:rFonts w:ascii="仿宋_GB2312" w:eastAsia="仿宋_GB2312" w:hAnsi="仿宋_GB2312" w:cs="仿宋_GB2312"/>
          <w:sz w:val="32"/>
          <w:szCs w:val="32"/>
        </w:rPr>
      </w:pPr>
      <w:r w:rsidRPr="00F20E35">
        <w:rPr>
          <w:rFonts w:ascii="仿宋_GB2312" w:eastAsia="仿宋_GB2312" w:hAnsi="仿宋_GB2312" w:cs="仿宋_GB2312" w:hint="eastAsia"/>
          <w:sz w:val="32"/>
          <w:szCs w:val="32"/>
        </w:rPr>
        <w:t>（二）与配气生产经营无关的费用；</w:t>
      </w:r>
    </w:p>
    <w:p w:rsidR="00F20E35" w:rsidRPr="00F20E35" w:rsidRDefault="00F20E35" w:rsidP="00F20E35">
      <w:pPr>
        <w:adjustRightInd w:val="0"/>
        <w:snapToGrid w:val="0"/>
        <w:spacing w:line="588" w:lineRule="exact"/>
        <w:ind w:firstLineChars="200" w:firstLine="640"/>
        <w:rPr>
          <w:rFonts w:ascii="仿宋_GB2312" w:eastAsia="仿宋_GB2312" w:hAnsi="仿宋_GB2312" w:cs="仿宋_GB2312"/>
          <w:sz w:val="32"/>
          <w:szCs w:val="32"/>
        </w:rPr>
      </w:pPr>
      <w:r w:rsidRPr="00F20E35">
        <w:rPr>
          <w:rFonts w:ascii="仿宋_GB2312" w:eastAsia="仿宋_GB2312" w:hAnsi="仿宋_GB2312" w:cs="仿宋_GB2312" w:hint="eastAsia"/>
          <w:sz w:val="32"/>
          <w:szCs w:val="32"/>
        </w:rPr>
        <w:t>（三）虽与配气生产经营过程有关，但有专项资金来源予以补偿的费用；</w:t>
      </w:r>
    </w:p>
    <w:p w:rsidR="00F20E35" w:rsidRPr="00F20E35" w:rsidRDefault="00F20E35" w:rsidP="00F20E35">
      <w:pPr>
        <w:adjustRightInd w:val="0"/>
        <w:snapToGrid w:val="0"/>
        <w:spacing w:line="588" w:lineRule="exact"/>
        <w:ind w:firstLineChars="200" w:firstLine="640"/>
        <w:rPr>
          <w:rFonts w:ascii="仿宋_GB2312" w:eastAsia="仿宋_GB2312" w:hAnsi="仿宋_GB2312" w:cs="仿宋_GB2312"/>
          <w:sz w:val="32"/>
          <w:szCs w:val="32"/>
        </w:rPr>
      </w:pPr>
      <w:r w:rsidRPr="00F20E35">
        <w:rPr>
          <w:rFonts w:ascii="仿宋_GB2312" w:eastAsia="仿宋_GB2312" w:hAnsi="仿宋_GB2312" w:cs="仿宋_GB2312" w:hint="eastAsia"/>
          <w:sz w:val="32"/>
          <w:szCs w:val="32"/>
        </w:rPr>
        <w:t>（四）固定资产盘亏、毁损、闲置和出售的净损失；</w:t>
      </w:r>
    </w:p>
    <w:p w:rsidR="00F20E35" w:rsidRPr="00F20E35" w:rsidRDefault="00F20E35" w:rsidP="00F20E35">
      <w:pPr>
        <w:adjustRightInd w:val="0"/>
        <w:snapToGrid w:val="0"/>
        <w:spacing w:line="588" w:lineRule="exact"/>
        <w:ind w:firstLineChars="200" w:firstLine="640"/>
        <w:rPr>
          <w:rFonts w:ascii="仿宋_GB2312" w:eastAsia="仿宋_GB2312" w:hAnsi="仿宋_GB2312" w:cs="仿宋_GB2312"/>
          <w:sz w:val="32"/>
          <w:szCs w:val="32"/>
        </w:rPr>
      </w:pPr>
      <w:r w:rsidRPr="00F20E35">
        <w:rPr>
          <w:rFonts w:ascii="仿宋_GB2312" w:eastAsia="仿宋_GB2312" w:hAnsi="仿宋_GB2312" w:cs="仿宋_GB2312" w:hint="eastAsia"/>
          <w:sz w:val="32"/>
          <w:szCs w:val="32"/>
        </w:rPr>
        <w:t>（五）各类捐赠、赞助、滞纳金、违约金、罚款，以及计提的准备金；</w:t>
      </w:r>
    </w:p>
    <w:p w:rsidR="00F20E35" w:rsidRPr="00F20E35" w:rsidRDefault="00F20E35" w:rsidP="00F20E35">
      <w:pPr>
        <w:adjustRightInd w:val="0"/>
        <w:snapToGrid w:val="0"/>
        <w:spacing w:line="588" w:lineRule="exact"/>
        <w:ind w:firstLineChars="200" w:firstLine="640"/>
        <w:rPr>
          <w:rFonts w:ascii="仿宋_GB2312" w:eastAsia="仿宋_GB2312" w:hAnsi="仿宋_GB2312" w:cs="仿宋_GB2312"/>
          <w:sz w:val="32"/>
          <w:szCs w:val="32"/>
        </w:rPr>
      </w:pPr>
      <w:r w:rsidRPr="00F20E35">
        <w:rPr>
          <w:rFonts w:ascii="仿宋_GB2312" w:eastAsia="仿宋_GB2312" w:hAnsi="仿宋_GB2312" w:cs="仿宋_GB2312" w:hint="eastAsia"/>
          <w:sz w:val="32"/>
          <w:szCs w:val="32"/>
        </w:rPr>
        <w:t>（六）向上级公司或管理部门上交的利润性质的管理费用、代上级公司或管理部门缴纳的各项费用、向出资人支付的利润分成以及对附属单位的补助支出等；</w:t>
      </w:r>
    </w:p>
    <w:p w:rsidR="00F20E35" w:rsidRPr="00F20E35" w:rsidRDefault="00F20E35" w:rsidP="00F20E35">
      <w:pPr>
        <w:adjustRightInd w:val="0"/>
        <w:snapToGrid w:val="0"/>
        <w:spacing w:line="588" w:lineRule="exact"/>
        <w:ind w:firstLineChars="200" w:firstLine="640"/>
        <w:rPr>
          <w:rFonts w:ascii="仿宋_GB2312" w:eastAsia="仿宋_GB2312" w:hAnsi="仿宋_GB2312" w:cs="仿宋_GB2312"/>
          <w:sz w:val="32"/>
          <w:szCs w:val="32"/>
        </w:rPr>
      </w:pPr>
      <w:r w:rsidRPr="00F20E35">
        <w:rPr>
          <w:rFonts w:ascii="仿宋_GB2312" w:eastAsia="仿宋_GB2312" w:hAnsi="仿宋_GB2312" w:cs="仿宋_GB2312" w:hint="eastAsia"/>
          <w:sz w:val="32"/>
          <w:szCs w:val="32"/>
        </w:rPr>
        <w:t>（七）广告、公益宣传费用；</w:t>
      </w:r>
    </w:p>
    <w:p w:rsidR="00F20E35" w:rsidRPr="00F20E35" w:rsidRDefault="00F20E35" w:rsidP="00F20E35">
      <w:pPr>
        <w:adjustRightInd w:val="0"/>
        <w:snapToGrid w:val="0"/>
        <w:spacing w:line="588" w:lineRule="exact"/>
        <w:ind w:firstLineChars="200" w:firstLine="640"/>
        <w:rPr>
          <w:rFonts w:ascii="仿宋_GB2312" w:eastAsia="仿宋_GB2312" w:hAnsi="仿宋_GB2312" w:cs="仿宋_GB2312"/>
          <w:sz w:val="32"/>
          <w:szCs w:val="32"/>
        </w:rPr>
      </w:pPr>
      <w:r w:rsidRPr="00F20E35">
        <w:rPr>
          <w:rFonts w:ascii="仿宋_GB2312" w:eastAsia="仿宋_GB2312" w:hAnsi="仿宋_GB2312" w:cs="仿宋_GB2312" w:hint="eastAsia"/>
          <w:sz w:val="32"/>
          <w:szCs w:val="32"/>
        </w:rPr>
        <w:t>（八）经营者过度购置固定资产所增加的支出（折旧、修理费、借款利息等）；</w:t>
      </w:r>
    </w:p>
    <w:p w:rsidR="00F20E35" w:rsidRPr="00F20E35" w:rsidRDefault="00F20E35" w:rsidP="00F20E35">
      <w:pPr>
        <w:adjustRightInd w:val="0"/>
        <w:snapToGrid w:val="0"/>
        <w:spacing w:line="588" w:lineRule="exact"/>
        <w:ind w:firstLineChars="200" w:firstLine="640"/>
        <w:rPr>
          <w:rFonts w:ascii="仿宋_GB2312" w:eastAsia="仿宋_GB2312" w:hAnsi="仿宋_GB2312" w:cs="仿宋_GB2312"/>
          <w:sz w:val="32"/>
          <w:szCs w:val="32"/>
        </w:rPr>
      </w:pPr>
      <w:r w:rsidRPr="00F20E35">
        <w:rPr>
          <w:rFonts w:ascii="仿宋_GB2312" w:eastAsia="仿宋_GB2312" w:hAnsi="仿宋_GB2312" w:cs="仿宋_GB2312" w:hint="eastAsia"/>
          <w:sz w:val="32"/>
          <w:szCs w:val="32"/>
        </w:rPr>
        <w:t>（九）其他不合理费用。</w:t>
      </w:r>
    </w:p>
    <w:p w:rsidR="00F20E35" w:rsidRPr="00F20E35" w:rsidRDefault="00F20E35" w:rsidP="00F20E35">
      <w:pPr>
        <w:keepNext/>
        <w:keepLines/>
        <w:adjustRightInd w:val="0"/>
        <w:snapToGrid w:val="0"/>
        <w:spacing w:line="588" w:lineRule="exact"/>
        <w:jc w:val="center"/>
        <w:outlineLvl w:val="2"/>
        <w:rPr>
          <w:rFonts w:ascii="黑体" w:eastAsia="黑体" w:hAnsi="黑体" w:cs="黑体"/>
          <w:bCs/>
          <w:sz w:val="32"/>
          <w:szCs w:val="32"/>
        </w:rPr>
      </w:pPr>
    </w:p>
    <w:p w:rsidR="00F20E35" w:rsidRPr="00F20E35" w:rsidRDefault="00F20E35" w:rsidP="00F20E35">
      <w:pPr>
        <w:keepNext/>
        <w:keepLines/>
        <w:adjustRightInd w:val="0"/>
        <w:snapToGrid w:val="0"/>
        <w:spacing w:line="588" w:lineRule="exact"/>
        <w:jc w:val="center"/>
        <w:outlineLvl w:val="2"/>
        <w:rPr>
          <w:rFonts w:ascii="黑体" w:eastAsia="黑体" w:hAnsi="黑体" w:cs="黑体"/>
          <w:bCs/>
          <w:sz w:val="32"/>
          <w:szCs w:val="32"/>
        </w:rPr>
      </w:pPr>
      <w:r w:rsidRPr="00F20E35">
        <w:rPr>
          <w:rFonts w:ascii="黑体" w:eastAsia="黑体" w:hAnsi="黑体" w:cs="黑体" w:hint="eastAsia"/>
          <w:bCs/>
          <w:sz w:val="32"/>
          <w:szCs w:val="32"/>
        </w:rPr>
        <w:t>第三章　定价成本核定</w:t>
      </w:r>
    </w:p>
    <w:p w:rsidR="00F20E35" w:rsidRPr="00F20E35" w:rsidRDefault="00F20E35" w:rsidP="00F20E35">
      <w:pPr>
        <w:spacing w:line="588" w:lineRule="exact"/>
        <w:rPr>
          <w:rFonts w:ascii="Calibri" w:eastAsia="宋体" w:hAnsi="Calibri" w:cs="Times New Roman"/>
        </w:rPr>
      </w:pPr>
    </w:p>
    <w:p w:rsidR="00F20E35" w:rsidRPr="00F20E35" w:rsidRDefault="00F20E35" w:rsidP="00F20E35">
      <w:pPr>
        <w:adjustRightInd w:val="0"/>
        <w:snapToGrid w:val="0"/>
        <w:spacing w:line="588" w:lineRule="exact"/>
        <w:ind w:firstLineChars="200" w:firstLine="640"/>
        <w:rPr>
          <w:rFonts w:ascii="仿宋_GB2312" w:eastAsia="仿宋_GB2312" w:hAnsi="仿宋_GB2312" w:cs="仿宋_GB2312"/>
          <w:sz w:val="32"/>
          <w:szCs w:val="32"/>
        </w:rPr>
      </w:pPr>
      <w:r w:rsidRPr="00F20E35">
        <w:rPr>
          <w:rFonts w:ascii="黑体" w:eastAsia="黑体" w:hAnsi="黑体" w:cs="黑体" w:hint="eastAsia"/>
          <w:bCs/>
          <w:sz w:val="32"/>
          <w:szCs w:val="32"/>
        </w:rPr>
        <w:lastRenderedPageBreak/>
        <w:t>第十三条</w:t>
      </w:r>
      <w:r w:rsidRPr="00F20E35">
        <w:rPr>
          <w:rFonts w:ascii="仿宋_GB2312" w:eastAsia="仿宋_GB2312" w:hAnsi="仿宋_GB2312" w:cs="仿宋_GB2312" w:hint="eastAsia"/>
          <w:sz w:val="32"/>
          <w:szCs w:val="32"/>
        </w:rPr>
        <w:t xml:space="preserve">　计入定价成本的折旧费按照监审时的上一年度末固定资产原值、规定的折旧年限，采用年限平均法核定。</w:t>
      </w:r>
    </w:p>
    <w:p w:rsidR="00F20E35" w:rsidRPr="00F20E35" w:rsidRDefault="00F20E35" w:rsidP="00F20E35">
      <w:pPr>
        <w:adjustRightInd w:val="0"/>
        <w:snapToGrid w:val="0"/>
        <w:spacing w:line="588" w:lineRule="exact"/>
        <w:ind w:firstLineChars="200" w:firstLine="640"/>
        <w:rPr>
          <w:rFonts w:ascii="仿宋_GB2312" w:eastAsia="仿宋_GB2312" w:hAnsi="仿宋_GB2312" w:cs="仿宋_GB2312"/>
          <w:sz w:val="32"/>
          <w:szCs w:val="32"/>
        </w:rPr>
      </w:pPr>
      <w:r w:rsidRPr="00F20E35">
        <w:rPr>
          <w:rFonts w:ascii="仿宋_GB2312" w:eastAsia="仿宋_GB2312" w:hAnsi="仿宋_GB2312" w:cs="仿宋_GB2312" w:hint="eastAsia"/>
          <w:sz w:val="32"/>
          <w:szCs w:val="32"/>
        </w:rPr>
        <w:t>（一）固定资产原值原则上按历史成本核定。按规定进行过清产核资的，按照有关部门认定的各类固定资产价值确定。下列资产不计入配气固定资产原值：由政府无偿投入、政府补助和社会无偿投入形成的资产；无偿接收的资产；建筑区划内业主共有和专有资产；未投入实际使用资产；不能提供资产价值有效证明的资产；闲置和提前报废的资产；评估增值部分资产；向用户收取费用形成的资产。</w:t>
      </w:r>
    </w:p>
    <w:p w:rsidR="00F20E35" w:rsidRPr="00F20E35" w:rsidRDefault="00F20E35" w:rsidP="00F20E35">
      <w:pPr>
        <w:adjustRightInd w:val="0"/>
        <w:snapToGrid w:val="0"/>
        <w:spacing w:line="588" w:lineRule="exact"/>
        <w:ind w:firstLineChars="200" w:firstLine="640"/>
        <w:rPr>
          <w:rFonts w:ascii="仿宋_GB2312" w:eastAsia="仿宋_GB2312" w:hAnsi="仿宋_GB2312" w:cs="仿宋_GB2312"/>
          <w:sz w:val="32"/>
          <w:szCs w:val="32"/>
        </w:rPr>
      </w:pPr>
      <w:r w:rsidRPr="00F20E35">
        <w:rPr>
          <w:rFonts w:ascii="仿宋_GB2312" w:eastAsia="仿宋_GB2312" w:hAnsi="仿宋_GB2312" w:cs="仿宋_GB2312" w:hint="eastAsia"/>
          <w:sz w:val="32"/>
          <w:szCs w:val="32"/>
        </w:rPr>
        <w:t>（二）折旧年限根据固定资产的性质、实际使用情况等因素确定，各类固定资产折旧年限具体见附表。管道固定资产残值率按0%核定，其他固定资产残值率按5%核定。已计提完折旧仍在使用的固定资产不再计提折旧。</w:t>
      </w:r>
    </w:p>
    <w:p w:rsidR="00F20E35" w:rsidRPr="00F20E35" w:rsidRDefault="00F20E35" w:rsidP="00F20E35">
      <w:pPr>
        <w:adjustRightInd w:val="0"/>
        <w:snapToGrid w:val="0"/>
        <w:spacing w:line="588" w:lineRule="exact"/>
        <w:ind w:firstLineChars="200" w:firstLine="640"/>
        <w:rPr>
          <w:rFonts w:ascii="仿宋_GB2312" w:eastAsia="仿宋_GB2312" w:hAnsi="仿宋_GB2312" w:cs="仿宋_GB2312"/>
          <w:sz w:val="32"/>
          <w:szCs w:val="32"/>
        </w:rPr>
      </w:pPr>
      <w:r w:rsidRPr="00F20E35">
        <w:rPr>
          <w:rFonts w:ascii="仿宋_GB2312" w:eastAsia="仿宋_GB2312" w:hAnsi="仿宋_GB2312" w:cs="仿宋_GB2312" w:hint="eastAsia"/>
          <w:sz w:val="32"/>
          <w:szCs w:val="32"/>
        </w:rPr>
        <w:t>（三）实行特许经营的，固定资产折旧年限按照不同情况分别处理：</w:t>
      </w:r>
    </w:p>
    <w:p w:rsidR="00F20E35" w:rsidRPr="00F20E35" w:rsidRDefault="00F20E35" w:rsidP="00F20E35">
      <w:pPr>
        <w:adjustRightInd w:val="0"/>
        <w:snapToGrid w:val="0"/>
        <w:spacing w:line="588" w:lineRule="exact"/>
        <w:ind w:firstLineChars="200" w:firstLine="640"/>
        <w:rPr>
          <w:rFonts w:ascii="仿宋_GB2312" w:eastAsia="仿宋_GB2312" w:hAnsi="仿宋_GB2312" w:cs="仿宋_GB2312"/>
          <w:sz w:val="32"/>
          <w:szCs w:val="32"/>
        </w:rPr>
      </w:pPr>
      <w:r w:rsidRPr="00F20E35">
        <w:rPr>
          <w:rFonts w:ascii="仿宋_GB2312" w:eastAsia="仿宋_GB2312" w:hAnsi="仿宋_GB2312" w:cs="仿宋_GB2312" w:hint="eastAsia"/>
          <w:sz w:val="32"/>
          <w:szCs w:val="32"/>
        </w:rPr>
        <w:t>1．特许经营期满后资产无偿移交的，固定资产折旧年限最高不超过特许经营期；</w:t>
      </w:r>
    </w:p>
    <w:p w:rsidR="00F20E35" w:rsidRPr="00F20E35" w:rsidRDefault="00F20E35" w:rsidP="00F20E35">
      <w:pPr>
        <w:adjustRightInd w:val="0"/>
        <w:snapToGrid w:val="0"/>
        <w:spacing w:line="588" w:lineRule="exact"/>
        <w:ind w:firstLineChars="200" w:firstLine="640"/>
        <w:rPr>
          <w:rFonts w:ascii="仿宋_GB2312" w:eastAsia="仿宋_GB2312" w:hAnsi="仿宋_GB2312" w:cs="仿宋_GB2312"/>
          <w:sz w:val="32"/>
          <w:szCs w:val="32"/>
        </w:rPr>
      </w:pPr>
      <w:r w:rsidRPr="00F20E35">
        <w:rPr>
          <w:rFonts w:ascii="仿宋_GB2312" w:eastAsia="仿宋_GB2312" w:hAnsi="仿宋_GB2312" w:cs="仿宋_GB2312" w:hint="eastAsia"/>
          <w:sz w:val="32"/>
          <w:szCs w:val="32"/>
        </w:rPr>
        <w:t>2．特许经营期满后资产有偿转让的，按照本条第（二）款规定确定折旧年限。</w:t>
      </w:r>
    </w:p>
    <w:p w:rsidR="00F20E35" w:rsidRPr="00F20E35" w:rsidRDefault="00F20E35" w:rsidP="00F20E35">
      <w:pPr>
        <w:adjustRightInd w:val="0"/>
        <w:snapToGrid w:val="0"/>
        <w:spacing w:line="588" w:lineRule="exact"/>
        <w:ind w:firstLineChars="200" w:firstLine="640"/>
        <w:rPr>
          <w:rFonts w:ascii="仿宋_GB2312" w:eastAsia="仿宋_GB2312" w:hAnsi="仿宋_GB2312" w:cs="仿宋_GB2312"/>
          <w:sz w:val="32"/>
          <w:szCs w:val="32"/>
        </w:rPr>
      </w:pPr>
      <w:r w:rsidRPr="00F20E35">
        <w:rPr>
          <w:rFonts w:ascii="黑体" w:eastAsia="黑体" w:hAnsi="黑体" w:cs="黑体" w:hint="eastAsia"/>
          <w:bCs/>
          <w:sz w:val="32"/>
          <w:szCs w:val="32"/>
        </w:rPr>
        <w:t>第十四条</w:t>
      </w:r>
      <w:r w:rsidRPr="00F20E35">
        <w:rPr>
          <w:rFonts w:ascii="仿宋_GB2312" w:eastAsia="仿宋_GB2312" w:hAnsi="仿宋_GB2312" w:cs="仿宋_GB2312" w:hint="eastAsia"/>
          <w:sz w:val="32"/>
          <w:szCs w:val="32"/>
        </w:rPr>
        <w:t xml:space="preserve">　计入定价成本的摊销</w:t>
      </w:r>
      <w:proofErr w:type="gramStart"/>
      <w:r w:rsidRPr="00F20E35">
        <w:rPr>
          <w:rFonts w:ascii="仿宋_GB2312" w:eastAsia="仿宋_GB2312" w:hAnsi="仿宋_GB2312" w:cs="仿宋_GB2312" w:hint="eastAsia"/>
          <w:sz w:val="32"/>
          <w:szCs w:val="32"/>
        </w:rPr>
        <w:t>费按照</w:t>
      </w:r>
      <w:proofErr w:type="gramEnd"/>
      <w:r w:rsidRPr="00F20E35">
        <w:rPr>
          <w:rFonts w:ascii="仿宋_GB2312" w:eastAsia="仿宋_GB2312" w:hAnsi="仿宋_GB2312" w:cs="仿宋_GB2312" w:hint="eastAsia"/>
          <w:sz w:val="32"/>
          <w:szCs w:val="32"/>
        </w:rPr>
        <w:t>核定的上一年度末无形资产原值、规定的摊销年限，采用直线摊销法核定。</w:t>
      </w:r>
    </w:p>
    <w:p w:rsidR="00F20E35" w:rsidRPr="00F20E35" w:rsidRDefault="00F20E35" w:rsidP="00F20E35">
      <w:pPr>
        <w:adjustRightInd w:val="0"/>
        <w:snapToGrid w:val="0"/>
        <w:spacing w:line="588" w:lineRule="exact"/>
        <w:ind w:firstLineChars="200" w:firstLine="640"/>
        <w:rPr>
          <w:rFonts w:ascii="仿宋_GB2312" w:eastAsia="仿宋_GB2312" w:hAnsi="仿宋_GB2312" w:cs="仿宋_GB2312"/>
          <w:sz w:val="32"/>
          <w:szCs w:val="32"/>
        </w:rPr>
      </w:pPr>
      <w:r w:rsidRPr="00F20E35">
        <w:rPr>
          <w:rFonts w:ascii="仿宋_GB2312" w:eastAsia="仿宋_GB2312" w:hAnsi="仿宋_GB2312" w:cs="仿宋_GB2312" w:hint="eastAsia"/>
          <w:sz w:val="32"/>
          <w:szCs w:val="32"/>
        </w:rPr>
        <w:t>（一）无形资产从开始使用之日起，在有效使用期限内分摊计入定价成本。其中，土地使用权费已计入地面建筑物价值</w:t>
      </w:r>
      <w:r w:rsidRPr="00F20E35">
        <w:rPr>
          <w:rFonts w:ascii="仿宋_GB2312" w:eastAsia="仿宋_GB2312" w:hAnsi="仿宋_GB2312" w:cs="仿宋_GB2312" w:hint="eastAsia"/>
          <w:sz w:val="32"/>
          <w:szCs w:val="32"/>
        </w:rPr>
        <w:lastRenderedPageBreak/>
        <w:t>且无法分离的，随建筑物提取折旧；其他按照土地使用权年限分摊。其他无形资产的摊销年限，有法律法规规定或合同约定的，从其规定或约定；没有规定或约定的，计算机软件按5年分摊，专利权等其他无形资产按不少于10年分摊。</w:t>
      </w:r>
    </w:p>
    <w:p w:rsidR="00F20E35" w:rsidRPr="00F20E35" w:rsidRDefault="00F20E35" w:rsidP="00F20E35">
      <w:pPr>
        <w:adjustRightInd w:val="0"/>
        <w:snapToGrid w:val="0"/>
        <w:spacing w:line="588" w:lineRule="exact"/>
        <w:ind w:firstLineChars="200" w:firstLine="640"/>
        <w:rPr>
          <w:rFonts w:ascii="仿宋_GB2312" w:eastAsia="仿宋_GB2312" w:hAnsi="仿宋_GB2312" w:cs="仿宋_GB2312"/>
          <w:sz w:val="32"/>
          <w:szCs w:val="32"/>
        </w:rPr>
      </w:pPr>
      <w:r w:rsidRPr="00F20E35">
        <w:rPr>
          <w:rFonts w:ascii="仿宋_GB2312" w:eastAsia="仿宋_GB2312" w:hAnsi="仿宋_GB2312" w:cs="仿宋_GB2312" w:hint="eastAsia"/>
          <w:sz w:val="32"/>
          <w:szCs w:val="32"/>
        </w:rPr>
        <w:t>（二）特许经营权费用原则上</w:t>
      </w:r>
      <w:proofErr w:type="gramStart"/>
      <w:r w:rsidRPr="00F20E35">
        <w:rPr>
          <w:rFonts w:ascii="仿宋_GB2312" w:eastAsia="仿宋_GB2312" w:hAnsi="仿宋_GB2312" w:cs="仿宋_GB2312" w:hint="eastAsia"/>
          <w:sz w:val="32"/>
          <w:szCs w:val="32"/>
        </w:rPr>
        <w:t>不</w:t>
      </w:r>
      <w:proofErr w:type="gramEnd"/>
      <w:r w:rsidRPr="00F20E35">
        <w:rPr>
          <w:rFonts w:ascii="仿宋_GB2312" w:eastAsia="仿宋_GB2312" w:hAnsi="仿宋_GB2312" w:cs="仿宋_GB2312" w:hint="eastAsia"/>
          <w:sz w:val="32"/>
          <w:szCs w:val="32"/>
        </w:rPr>
        <w:t>得计入定价成本，政府规定允许计入的按照特许经营年限分摊，没有特许经营年限的按30年分摊。</w:t>
      </w:r>
    </w:p>
    <w:p w:rsidR="00F20E35" w:rsidRPr="00F20E35" w:rsidRDefault="00F20E35" w:rsidP="00F20E35">
      <w:pPr>
        <w:adjustRightInd w:val="0"/>
        <w:snapToGrid w:val="0"/>
        <w:spacing w:line="588" w:lineRule="exact"/>
        <w:ind w:firstLineChars="200" w:firstLine="640"/>
        <w:rPr>
          <w:rFonts w:ascii="仿宋_GB2312" w:eastAsia="仿宋_GB2312" w:hAnsi="仿宋_GB2312" w:cs="仿宋_GB2312"/>
          <w:sz w:val="32"/>
          <w:szCs w:val="32"/>
        </w:rPr>
      </w:pPr>
      <w:r w:rsidRPr="00F20E35">
        <w:rPr>
          <w:rFonts w:ascii="仿宋_GB2312" w:eastAsia="仿宋_GB2312" w:hAnsi="仿宋_GB2312" w:cs="仿宋_GB2312" w:hint="eastAsia"/>
          <w:sz w:val="32"/>
          <w:szCs w:val="32"/>
        </w:rPr>
        <w:t>（三）无形资产评估增值部分不计入无形资产原值。</w:t>
      </w:r>
    </w:p>
    <w:p w:rsidR="00F20E35" w:rsidRPr="00F20E35" w:rsidRDefault="00F20E35" w:rsidP="00F20E35">
      <w:pPr>
        <w:adjustRightInd w:val="0"/>
        <w:snapToGrid w:val="0"/>
        <w:spacing w:line="588" w:lineRule="exact"/>
        <w:ind w:firstLineChars="200" w:firstLine="640"/>
        <w:rPr>
          <w:rFonts w:ascii="仿宋_GB2312" w:eastAsia="仿宋_GB2312" w:hAnsi="仿宋_GB2312" w:cs="仿宋_GB2312"/>
          <w:sz w:val="32"/>
          <w:szCs w:val="32"/>
        </w:rPr>
      </w:pPr>
      <w:r w:rsidRPr="00F20E35">
        <w:rPr>
          <w:rFonts w:ascii="黑体" w:eastAsia="黑体" w:hAnsi="黑体" w:cs="黑体" w:hint="eastAsia"/>
          <w:bCs/>
          <w:sz w:val="32"/>
          <w:szCs w:val="32"/>
        </w:rPr>
        <w:t>第十五条</w:t>
      </w:r>
      <w:r w:rsidRPr="00F20E35">
        <w:rPr>
          <w:rFonts w:ascii="仿宋_GB2312" w:eastAsia="仿宋_GB2312" w:hAnsi="仿宋_GB2312" w:cs="仿宋_GB2312" w:hint="eastAsia"/>
          <w:sz w:val="32"/>
          <w:szCs w:val="32"/>
        </w:rPr>
        <w:t xml:space="preserve">　运行维护费各构成项目核定方法如下：</w:t>
      </w:r>
    </w:p>
    <w:p w:rsidR="00F20E35" w:rsidRPr="00F20E35" w:rsidRDefault="00F20E35" w:rsidP="00F20E35">
      <w:pPr>
        <w:adjustRightInd w:val="0"/>
        <w:snapToGrid w:val="0"/>
        <w:spacing w:line="588" w:lineRule="exact"/>
        <w:ind w:firstLineChars="200" w:firstLine="640"/>
        <w:rPr>
          <w:rFonts w:ascii="仿宋_GB2312" w:eastAsia="仿宋_GB2312" w:hAnsi="仿宋_GB2312" w:cs="仿宋_GB2312"/>
          <w:sz w:val="32"/>
          <w:szCs w:val="32"/>
        </w:rPr>
      </w:pPr>
      <w:r w:rsidRPr="00F20E35">
        <w:rPr>
          <w:rFonts w:ascii="仿宋_GB2312" w:eastAsia="仿宋_GB2312" w:hAnsi="仿宋_GB2312" w:cs="仿宋_GB2312" w:hint="eastAsia"/>
          <w:sz w:val="32"/>
          <w:szCs w:val="32"/>
        </w:rPr>
        <w:t>（一）材料费、燃料动力费，原则上剔除不合理因素后按近三年平均值据实核定。</w:t>
      </w:r>
    </w:p>
    <w:p w:rsidR="00F20E35" w:rsidRPr="00F20E35" w:rsidRDefault="00F20E35" w:rsidP="00F20E35">
      <w:pPr>
        <w:adjustRightInd w:val="0"/>
        <w:snapToGrid w:val="0"/>
        <w:spacing w:line="588" w:lineRule="exact"/>
        <w:ind w:firstLineChars="200" w:firstLine="640"/>
        <w:rPr>
          <w:rFonts w:ascii="仿宋_GB2312" w:eastAsia="仿宋_GB2312" w:hAnsi="仿宋_GB2312" w:cs="仿宋_GB2312"/>
          <w:sz w:val="32"/>
          <w:szCs w:val="32"/>
        </w:rPr>
      </w:pPr>
      <w:r w:rsidRPr="00F20E35">
        <w:rPr>
          <w:rFonts w:ascii="仿宋_GB2312" w:eastAsia="仿宋_GB2312" w:hAnsi="仿宋_GB2312" w:cs="仿宋_GB2312" w:hint="eastAsia"/>
          <w:sz w:val="32"/>
          <w:szCs w:val="32"/>
        </w:rPr>
        <w:t>（二）修理费原则上据实核定，最高不超过核定的配气固定资产原值的2.5%。</w:t>
      </w:r>
    </w:p>
    <w:p w:rsidR="00F20E35" w:rsidRPr="00F20E35" w:rsidRDefault="00F20E35" w:rsidP="00F20E35">
      <w:pPr>
        <w:adjustRightInd w:val="0"/>
        <w:snapToGrid w:val="0"/>
        <w:spacing w:line="588" w:lineRule="exact"/>
        <w:ind w:firstLineChars="200" w:firstLine="640"/>
        <w:rPr>
          <w:rFonts w:ascii="仿宋_GB2312" w:eastAsia="仿宋_GB2312" w:hAnsi="仿宋_GB2312" w:cs="仿宋_GB2312"/>
          <w:sz w:val="32"/>
          <w:szCs w:val="32"/>
        </w:rPr>
      </w:pPr>
      <w:r w:rsidRPr="00F20E35">
        <w:rPr>
          <w:rFonts w:ascii="仿宋_GB2312" w:eastAsia="仿宋_GB2312" w:hAnsi="仿宋_GB2312" w:cs="仿宋_GB2312" w:hint="eastAsia"/>
          <w:sz w:val="32"/>
          <w:szCs w:val="32"/>
        </w:rPr>
        <w:t>政府补助和政府或社会无偿投入形成的资产、无偿接收的资产的后期维护成本，以及建筑区划内按法律法规规定由经营者承担运行维护责任的运行维护费用计入定价成本。</w:t>
      </w:r>
    </w:p>
    <w:p w:rsidR="00F20E35" w:rsidRPr="00F20E35" w:rsidRDefault="00F20E35" w:rsidP="00F20E35">
      <w:pPr>
        <w:adjustRightInd w:val="0"/>
        <w:snapToGrid w:val="0"/>
        <w:spacing w:line="580" w:lineRule="exact"/>
        <w:ind w:firstLineChars="200" w:firstLine="640"/>
        <w:rPr>
          <w:rFonts w:ascii="仿宋_GB2312" w:eastAsia="仿宋_GB2312" w:hAnsi="仿宋_GB2312" w:cs="仿宋_GB2312"/>
          <w:sz w:val="32"/>
          <w:szCs w:val="32"/>
        </w:rPr>
      </w:pPr>
      <w:r w:rsidRPr="00F20E35">
        <w:rPr>
          <w:rFonts w:ascii="仿宋_GB2312" w:eastAsia="仿宋_GB2312" w:hAnsi="仿宋_GB2312" w:cs="仿宋_GB2312" w:hint="eastAsia"/>
          <w:sz w:val="32"/>
          <w:szCs w:val="32"/>
        </w:rPr>
        <w:t>（三）职工薪</w:t>
      </w:r>
      <w:proofErr w:type="gramStart"/>
      <w:r w:rsidRPr="00F20E35">
        <w:rPr>
          <w:rFonts w:ascii="仿宋_GB2312" w:eastAsia="仿宋_GB2312" w:hAnsi="仿宋_GB2312" w:cs="仿宋_GB2312" w:hint="eastAsia"/>
          <w:sz w:val="32"/>
          <w:szCs w:val="32"/>
        </w:rPr>
        <w:t>酬</w:t>
      </w:r>
      <w:proofErr w:type="gramEnd"/>
      <w:r w:rsidRPr="00F20E35">
        <w:rPr>
          <w:rFonts w:ascii="仿宋_GB2312" w:eastAsia="仿宋_GB2312" w:hAnsi="仿宋_GB2312" w:cs="仿宋_GB2312" w:hint="eastAsia"/>
          <w:sz w:val="32"/>
          <w:szCs w:val="32"/>
        </w:rPr>
        <w:t>包括：职工工资（基本工资、奖金、津贴和补贴）；职工福利费；社会保险费（养老保险费、医疗保险费、失业保险费、工伤保险费、生育保险费、补充养老保险和补充医疗保险）；住房公积金；工会经费和职工教育经费；非货币性福利；因解除与职工劳动关系给予的补偿；其他与获得职工提供服务相关的支出。</w:t>
      </w:r>
    </w:p>
    <w:p w:rsidR="00F20E35" w:rsidRPr="00F20E35" w:rsidRDefault="00F20E35" w:rsidP="00F20E35">
      <w:pPr>
        <w:adjustRightInd w:val="0"/>
        <w:snapToGrid w:val="0"/>
        <w:spacing w:line="580" w:lineRule="exact"/>
        <w:ind w:firstLineChars="200" w:firstLine="640"/>
        <w:rPr>
          <w:rFonts w:ascii="仿宋_GB2312" w:eastAsia="仿宋_GB2312" w:hAnsi="仿宋_GB2312" w:cs="仿宋_GB2312"/>
          <w:sz w:val="32"/>
          <w:szCs w:val="32"/>
        </w:rPr>
      </w:pPr>
      <w:r w:rsidRPr="00F20E35">
        <w:rPr>
          <w:rFonts w:ascii="仿宋_GB2312" w:eastAsia="仿宋_GB2312" w:hAnsi="仿宋_GB2312" w:cs="仿宋_GB2312" w:hint="eastAsia"/>
          <w:sz w:val="32"/>
          <w:szCs w:val="32"/>
        </w:rPr>
        <w:t>1．职工工资总额按照监审时上一年度职工平均工资和职</w:t>
      </w:r>
      <w:r w:rsidRPr="00F20E35">
        <w:rPr>
          <w:rFonts w:ascii="仿宋_GB2312" w:eastAsia="仿宋_GB2312" w:hAnsi="仿宋_GB2312" w:cs="仿宋_GB2312" w:hint="eastAsia"/>
          <w:sz w:val="32"/>
          <w:szCs w:val="32"/>
        </w:rPr>
        <w:lastRenderedPageBreak/>
        <w:t>工人数核定，其中，职工平均工资原则上据实核定，但不得超过统计部门公布的当地电力、热力、燃气及水生产和供应行业职工平均工资水平；职工人数按照实际在岗职工人数核定，政府有关部门或者行业有明确规定的，不得超过其规定人数。由政府有关部门进行工资管理的，职工工资总额上限为按照其工资管理规定核定的数值。</w:t>
      </w:r>
    </w:p>
    <w:p w:rsidR="00F20E35" w:rsidRPr="00F20E35" w:rsidRDefault="00F20E35" w:rsidP="00F20E35">
      <w:pPr>
        <w:adjustRightInd w:val="0"/>
        <w:snapToGrid w:val="0"/>
        <w:spacing w:line="580" w:lineRule="exact"/>
        <w:ind w:firstLineChars="200" w:firstLine="640"/>
        <w:rPr>
          <w:rFonts w:ascii="仿宋_GB2312" w:eastAsia="仿宋_GB2312" w:hAnsi="仿宋_GB2312" w:cs="仿宋_GB2312"/>
          <w:sz w:val="32"/>
          <w:szCs w:val="32"/>
        </w:rPr>
      </w:pPr>
      <w:r w:rsidRPr="00F20E35">
        <w:rPr>
          <w:rFonts w:ascii="仿宋_GB2312" w:eastAsia="仿宋_GB2312" w:hAnsi="仿宋_GB2312" w:cs="仿宋_GB2312" w:hint="eastAsia"/>
          <w:sz w:val="32"/>
          <w:szCs w:val="32"/>
        </w:rPr>
        <w:t>因解除与职工的劳动关系给予的补偿，按照一定年限分摊计入定价成本。</w:t>
      </w:r>
    </w:p>
    <w:p w:rsidR="00F20E35" w:rsidRPr="00F20E35" w:rsidRDefault="00F20E35" w:rsidP="00F20E35">
      <w:pPr>
        <w:adjustRightInd w:val="0"/>
        <w:snapToGrid w:val="0"/>
        <w:spacing w:line="580" w:lineRule="exact"/>
        <w:ind w:firstLineChars="200" w:firstLine="640"/>
        <w:rPr>
          <w:rFonts w:ascii="仿宋_GB2312" w:eastAsia="仿宋_GB2312" w:hAnsi="仿宋_GB2312" w:cs="仿宋_GB2312"/>
          <w:sz w:val="32"/>
          <w:szCs w:val="32"/>
        </w:rPr>
      </w:pPr>
      <w:r w:rsidRPr="00F20E35">
        <w:rPr>
          <w:rFonts w:ascii="仿宋_GB2312" w:eastAsia="仿宋_GB2312" w:hAnsi="仿宋_GB2312" w:cs="仿宋_GB2312" w:hint="eastAsia"/>
          <w:sz w:val="32"/>
          <w:szCs w:val="32"/>
        </w:rPr>
        <w:t>2．社会保险费（包含补充养老保险和补充医疗保险）和住房公积金审核计算基数原则上按照经营者实缴基数确定，但不得超过核定的工资总额和当地政府规定的基数，计算比例按照不超过国家或当地政府统一规定的比例确定。</w:t>
      </w:r>
    </w:p>
    <w:p w:rsidR="00F20E35" w:rsidRPr="00F20E35" w:rsidRDefault="00F20E35" w:rsidP="00F20E35">
      <w:pPr>
        <w:adjustRightInd w:val="0"/>
        <w:snapToGrid w:val="0"/>
        <w:spacing w:line="580" w:lineRule="exact"/>
        <w:ind w:firstLineChars="200" w:firstLine="640"/>
        <w:rPr>
          <w:rFonts w:ascii="仿宋_GB2312" w:eastAsia="仿宋_GB2312" w:hAnsi="仿宋_GB2312" w:cs="仿宋_GB2312"/>
          <w:sz w:val="32"/>
          <w:szCs w:val="32"/>
        </w:rPr>
      </w:pPr>
      <w:r w:rsidRPr="00F20E35">
        <w:rPr>
          <w:rFonts w:ascii="仿宋_GB2312" w:eastAsia="仿宋_GB2312" w:hAnsi="仿宋_GB2312" w:cs="仿宋_GB2312" w:hint="eastAsia"/>
          <w:sz w:val="32"/>
          <w:szCs w:val="32"/>
        </w:rPr>
        <w:t>3．工会经费、职工教育经费和职工福利费据实核定，最高分别不得超过核定工资总额的2%、2.5%和14%。国家有新的规定从其规定。应当在工会经费、职工教育经费和职工福利费中列支的费用，不得在其他费用项目中列支。</w:t>
      </w:r>
    </w:p>
    <w:p w:rsidR="00F20E35" w:rsidRPr="00F20E35" w:rsidRDefault="00F20E35" w:rsidP="00F20E35">
      <w:pPr>
        <w:adjustRightInd w:val="0"/>
        <w:snapToGrid w:val="0"/>
        <w:spacing w:line="580" w:lineRule="exact"/>
        <w:ind w:firstLineChars="200" w:firstLine="640"/>
        <w:rPr>
          <w:rFonts w:ascii="仿宋_GB2312" w:eastAsia="仿宋_GB2312" w:hAnsi="仿宋_GB2312" w:cs="仿宋_GB2312"/>
          <w:sz w:val="32"/>
          <w:szCs w:val="32"/>
        </w:rPr>
      </w:pPr>
      <w:r w:rsidRPr="00F20E35">
        <w:rPr>
          <w:rFonts w:ascii="仿宋_GB2312" w:eastAsia="仿宋_GB2312" w:hAnsi="仿宋_GB2312" w:cs="仿宋_GB2312" w:hint="eastAsia"/>
          <w:sz w:val="32"/>
          <w:szCs w:val="32"/>
        </w:rPr>
        <w:t>（四）业务招待费按监审期间内平均水平核定，各年度最高不得超过当年配气收入的5‰。</w:t>
      </w:r>
    </w:p>
    <w:p w:rsidR="00F20E35" w:rsidRPr="00F20E35" w:rsidRDefault="00F20E35" w:rsidP="00F20E35">
      <w:pPr>
        <w:adjustRightInd w:val="0"/>
        <w:snapToGrid w:val="0"/>
        <w:spacing w:line="580" w:lineRule="exact"/>
        <w:ind w:firstLineChars="200" w:firstLine="640"/>
        <w:rPr>
          <w:rFonts w:ascii="仿宋_GB2312" w:eastAsia="仿宋_GB2312" w:hAnsi="仿宋_GB2312" w:cs="仿宋_GB2312"/>
          <w:sz w:val="32"/>
          <w:szCs w:val="32"/>
        </w:rPr>
      </w:pPr>
      <w:r w:rsidRPr="00F20E35">
        <w:rPr>
          <w:rFonts w:ascii="仿宋_GB2312" w:eastAsia="仿宋_GB2312" w:hAnsi="仿宋_GB2312" w:cs="仿宋_GB2312" w:hint="eastAsia"/>
          <w:sz w:val="32"/>
          <w:szCs w:val="32"/>
        </w:rPr>
        <w:t>（五）管理费用和销售费用。除本办法中有规定核算方法的项目外，其他项目原则上剔除不合理因素后按近三年平均值据实核定。</w:t>
      </w:r>
    </w:p>
    <w:p w:rsidR="00F20E35" w:rsidRPr="00F20E35" w:rsidRDefault="00F20E35" w:rsidP="00F20E35">
      <w:pPr>
        <w:adjustRightInd w:val="0"/>
        <w:snapToGrid w:val="0"/>
        <w:spacing w:line="588" w:lineRule="exact"/>
        <w:ind w:firstLineChars="200" w:firstLine="640"/>
        <w:rPr>
          <w:rFonts w:ascii="仿宋_GB2312" w:eastAsia="仿宋_GB2312" w:hAnsi="仿宋_GB2312" w:cs="仿宋_GB2312"/>
          <w:sz w:val="32"/>
          <w:szCs w:val="32"/>
        </w:rPr>
      </w:pPr>
      <w:r w:rsidRPr="00F20E35">
        <w:rPr>
          <w:rFonts w:ascii="仿宋_GB2312" w:eastAsia="仿宋_GB2312" w:hAnsi="仿宋_GB2312" w:cs="仿宋_GB2312" w:hint="eastAsia"/>
          <w:sz w:val="32"/>
          <w:szCs w:val="32"/>
        </w:rPr>
        <w:t>（六）本办法未具体规定审核标准的其他成本费用项目，按国家有关价格监管和财务制度的规定审核，原则上剔除不合理因素后按近三年平均值据实核定。</w:t>
      </w:r>
    </w:p>
    <w:p w:rsidR="00F20E35" w:rsidRPr="00F20E35" w:rsidRDefault="00F20E35" w:rsidP="00F20E35">
      <w:pPr>
        <w:adjustRightInd w:val="0"/>
        <w:snapToGrid w:val="0"/>
        <w:spacing w:line="588" w:lineRule="exact"/>
        <w:ind w:firstLineChars="200" w:firstLine="640"/>
        <w:rPr>
          <w:rFonts w:ascii="仿宋_GB2312" w:eastAsia="仿宋_GB2312" w:hAnsi="仿宋_GB2312" w:cs="仿宋_GB2312"/>
          <w:sz w:val="32"/>
          <w:szCs w:val="32"/>
        </w:rPr>
      </w:pPr>
      <w:r w:rsidRPr="00F20E35">
        <w:rPr>
          <w:rFonts w:ascii="黑体" w:eastAsia="黑体" w:hAnsi="黑体" w:cs="黑体" w:hint="eastAsia"/>
          <w:bCs/>
          <w:sz w:val="32"/>
          <w:szCs w:val="32"/>
        </w:rPr>
        <w:lastRenderedPageBreak/>
        <w:t>第十六条</w:t>
      </w:r>
      <w:r w:rsidRPr="00F20E35">
        <w:rPr>
          <w:rFonts w:ascii="仿宋_GB2312" w:eastAsia="仿宋_GB2312" w:hAnsi="仿宋_GB2312" w:cs="仿宋_GB2312" w:hint="eastAsia"/>
          <w:sz w:val="32"/>
          <w:szCs w:val="32"/>
        </w:rPr>
        <w:t xml:space="preserve">　经营者获得的与配气有关的政府补助用于专门项目的，直接冲减该项费用；未明确规定专项用途的，应当冲减总成本。</w:t>
      </w:r>
    </w:p>
    <w:p w:rsidR="00F20E35" w:rsidRPr="00F20E35" w:rsidRDefault="00F20E35" w:rsidP="00F20E35">
      <w:pPr>
        <w:adjustRightInd w:val="0"/>
        <w:snapToGrid w:val="0"/>
        <w:spacing w:line="588" w:lineRule="exact"/>
        <w:ind w:firstLineChars="200" w:firstLine="640"/>
        <w:rPr>
          <w:rFonts w:ascii="仿宋_GB2312" w:eastAsia="仿宋_GB2312" w:hAnsi="仿宋_GB2312" w:cs="仿宋_GB2312"/>
          <w:sz w:val="32"/>
          <w:szCs w:val="32"/>
        </w:rPr>
      </w:pPr>
      <w:r w:rsidRPr="00F20E35">
        <w:rPr>
          <w:rFonts w:ascii="黑体" w:eastAsia="黑体" w:hAnsi="黑体" w:cs="黑体" w:hint="eastAsia"/>
          <w:bCs/>
          <w:sz w:val="32"/>
          <w:szCs w:val="32"/>
        </w:rPr>
        <w:t>第十七条</w:t>
      </w:r>
      <w:r w:rsidRPr="00F20E35">
        <w:rPr>
          <w:rFonts w:ascii="仿宋_GB2312" w:eastAsia="仿宋_GB2312" w:hAnsi="仿宋_GB2312" w:cs="仿宋_GB2312" w:hint="eastAsia"/>
          <w:sz w:val="32"/>
          <w:szCs w:val="32"/>
        </w:rPr>
        <w:t xml:space="preserve">　其他业务成本应当单独核算，不计入配气定价成本。其他业务与配气业务共同使用资产、人员或者统一支付费用，依托配气业务从事生产经营活动，以及因从事配气业务而获得政府优惠政策，不能单独核算或者核算不合理的，应当将其他业务收入按照一定比例冲减成本。该比例可采用收入比、直接人员数量比、资产</w:t>
      </w:r>
      <w:proofErr w:type="gramStart"/>
      <w:r w:rsidRPr="00F20E35">
        <w:rPr>
          <w:rFonts w:ascii="仿宋_GB2312" w:eastAsia="仿宋_GB2312" w:hAnsi="仿宋_GB2312" w:cs="仿宋_GB2312" w:hint="eastAsia"/>
          <w:sz w:val="32"/>
          <w:szCs w:val="32"/>
        </w:rPr>
        <w:t>比或者</w:t>
      </w:r>
      <w:proofErr w:type="gramEnd"/>
      <w:r w:rsidRPr="00F20E35">
        <w:rPr>
          <w:rFonts w:ascii="仿宋_GB2312" w:eastAsia="仿宋_GB2312" w:hAnsi="仿宋_GB2312" w:cs="仿宋_GB2312" w:hint="eastAsia"/>
          <w:sz w:val="32"/>
          <w:szCs w:val="32"/>
        </w:rPr>
        <w:t>其他合理方法确定。</w:t>
      </w:r>
    </w:p>
    <w:p w:rsidR="00F20E35" w:rsidRPr="00F20E35" w:rsidRDefault="00F20E35" w:rsidP="00F20E35">
      <w:pPr>
        <w:adjustRightInd w:val="0"/>
        <w:snapToGrid w:val="0"/>
        <w:spacing w:line="588" w:lineRule="exact"/>
        <w:ind w:firstLineChars="200" w:firstLine="640"/>
        <w:rPr>
          <w:rFonts w:ascii="仿宋_GB2312" w:eastAsia="仿宋_GB2312" w:hAnsi="仿宋_GB2312" w:cs="仿宋_GB2312"/>
          <w:sz w:val="32"/>
          <w:szCs w:val="32"/>
        </w:rPr>
      </w:pPr>
      <w:r w:rsidRPr="00F20E35">
        <w:rPr>
          <w:rFonts w:ascii="黑体" w:eastAsia="黑体" w:hAnsi="黑体" w:cs="黑体" w:hint="eastAsia"/>
          <w:bCs/>
          <w:sz w:val="32"/>
          <w:szCs w:val="32"/>
        </w:rPr>
        <w:t>第十八条</w:t>
      </w:r>
      <w:r w:rsidRPr="00F20E35">
        <w:rPr>
          <w:rFonts w:ascii="仿宋_GB2312" w:eastAsia="仿宋_GB2312" w:hAnsi="仿宋_GB2312" w:cs="仿宋_GB2312" w:hint="eastAsia"/>
          <w:sz w:val="32"/>
          <w:szCs w:val="32"/>
        </w:rPr>
        <w:t xml:space="preserve">　供销差率（含损耗率）按新建的管网不超过5%，运行三年（含）以上的管网不超过4%确定。实际供销差率超过规定差率的，超出部分由经营者承担。</w:t>
      </w:r>
    </w:p>
    <w:p w:rsidR="00F20E35" w:rsidRPr="00F20E35" w:rsidRDefault="00F20E35" w:rsidP="00F20E35">
      <w:pPr>
        <w:adjustRightInd w:val="0"/>
        <w:snapToGrid w:val="0"/>
        <w:spacing w:line="588" w:lineRule="exact"/>
        <w:ind w:firstLineChars="200" w:firstLine="640"/>
        <w:rPr>
          <w:rFonts w:ascii="仿宋_GB2312" w:eastAsia="仿宋_GB2312" w:hAnsi="仿宋_GB2312" w:cs="仿宋_GB2312"/>
          <w:sz w:val="32"/>
          <w:szCs w:val="32"/>
        </w:rPr>
      </w:pPr>
      <w:r w:rsidRPr="00F20E35">
        <w:rPr>
          <w:rFonts w:ascii="仿宋_GB2312" w:eastAsia="仿宋_GB2312" w:hAnsi="仿宋_GB2312" w:cs="仿宋_GB2312" w:hint="eastAsia"/>
          <w:sz w:val="32"/>
          <w:szCs w:val="32"/>
        </w:rPr>
        <w:t>实际供销差率=（本监审周期</w:t>
      </w:r>
      <w:proofErr w:type="gramStart"/>
      <w:r w:rsidRPr="00F20E35">
        <w:rPr>
          <w:rFonts w:ascii="仿宋_GB2312" w:eastAsia="仿宋_GB2312" w:hAnsi="仿宋_GB2312" w:cs="仿宋_GB2312" w:hint="eastAsia"/>
          <w:sz w:val="32"/>
          <w:szCs w:val="32"/>
        </w:rPr>
        <w:t>期</w:t>
      </w:r>
      <w:proofErr w:type="gramEnd"/>
      <w:r w:rsidRPr="00F20E35">
        <w:rPr>
          <w:rFonts w:ascii="仿宋_GB2312" w:eastAsia="仿宋_GB2312" w:hAnsi="仿宋_GB2312" w:cs="仿宋_GB2312" w:hint="eastAsia"/>
          <w:sz w:val="32"/>
          <w:szCs w:val="32"/>
        </w:rPr>
        <w:t>初储气量+本监审周期购气量-本监审周期售气量-本监审周期期末储气量）/（本监审周期</w:t>
      </w:r>
      <w:proofErr w:type="gramStart"/>
      <w:r w:rsidRPr="00F20E35">
        <w:rPr>
          <w:rFonts w:ascii="仿宋_GB2312" w:eastAsia="仿宋_GB2312" w:hAnsi="仿宋_GB2312" w:cs="仿宋_GB2312" w:hint="eastAsia"/>
          <w:sz w:val="32"/>
          <w:szCs w:val="32"/>
        </w:rPr>
        <w:t>期</w:t>
      </w:r>
      <w:proofErr w:type="gramEnd"/>
      <w:r w:rsidRPr="00F20E35">
        <w:rPr>
          <w:rFonts w:ascii="仿宋_GB2312" w:eastAsia="仿宋_GB2312" w:hAnsi="仿宋_GB2312" w:cs="仿宋_GB2312" w:hint="eastAsia"/>
          <w:sz w:val="32"/>
          <w:szCs w:val="32"/>
        </w:rPr>
        <w:t>初储气量+本监审周期购气量-本监审周期期末储气量）</w:t>
      </w:r>
    </w:p>
    <w:p w:rsidR="00F20E35" w:rsidRPr="00F20E35" w:rsidRDefault="00F20E35" w:rsidP="00F20E35">
      <w:pPr>
        <w:adjustRightInd w:val="0"/>
        <w:snapToGrid w:val="0"/>
        <w:spacing w:line="588" w:lineRule="exact"/>
        <w:ind w:firstLineChars="200" w:firstLine="640"/>
        <w:rPr>
          <w:rFonts w:ascii="仿宋_GB2312" w:eastAsia="仿宋_GB2312" w:hAnsi="仿宋_GB2312" w:cs="仿宋_GB2312"/>
          <w:sz w:val="32"/>
          <w:szCs w:val="32"/>
        </w:rPr>
      </w:pPr>
      <w:r w:rsidRPr="00F20E35">
        <w:rPr>
          <w:rFonts w:ascii="黑体" w:eastAsia="黑体" w:hAnsi="黑体" w:cs="黑体" w:hint="eastAsia"/>
          <w:bCs/>
          <w:sz w:val="32"/>
          <w:szCs w:val="32"/>
        </w:rPr>
        <w:t>第十九条</w:t>
      </w:r>
      <w:r w:rsidRPr="00F20E35">
        <w:rPr>
          <w:rFonts w:ascii="仿宋_GB2312" w:eastAsia="仿宋_GB2312" w:hAnsi="仿宋_GB2312" w:cs="仿宋_GB2312" w:hint="eastAsia"/>
          <w:sz w:val="32"/>
          <w:szCs w:val="32"/>
        </w:rPr>
        <w:t xml:space="preserve">　配气单位定价成本按核定的定价总成本除以</w:t>
      </w:r>
      <w:proofErr w:type="gramStart"/>
      <w:r w:rsidRPr="00F20E35">
        <w:rPr>
          <w:rFonts w:ascii="仿宋_GB2312" w:eastAsia="仿宋_GB2312" w:hAnsi="仿宋_GB2312" w:cs="仿宋_GB2312" w:hint="eastAsia"/>
          <w:sz w:val="32"/>
          <w:szCs w:val="32"/>
        </w:rPr>
        <w:t>核定年配气量</w:t>
      </w:r>
      <w:proofErr w:type="gramEnd"/>
      <w:r w:rsidRPr="00F20E35">
        <w:rPr>
          <w:rFonts w:ascii="仿宋_GB2312" w:eastAsia="仿宋_GB2312" w:hAnsi="仿宋_GB2312" w:cs="仿宋_GB2312" w:hint="eastAsia"/>
          <w:sz w:val="32"/>
          <w:szCs w:val="32"/>
        </w:rPr>
        <w:t>计算。</w:t>
      </w:r>
    </w:p>
    <w:p w:rsidR="00F20E35" w:rsidRPr="00F20E35" w:rsidRDefault="00F20E35" w:rsidP="00F20E35">
      <w:pPr>
        <w:adjustRightInd w:val="0"/>
        <w:snapToGrid w:val="0"/>
        <w:spacing w:line="588" w:lineRule="exact"/>
        <w:ind w:firstLineChars="200" w:firstLine="640"/>
        <w:rPr>
          <w:rFonts w:ascii="仿宋_GB2312" w:eastAsia="仿宋_GB2312" w:hAnsi="仿宋_GB2312" w:cs="仿宋_GB2312"/>
          <w:sz w:val="32"/>
          <w:szCs w:val="32"/>
        </w:rPr>
      </w:pPr>
      <w:r w:rsidRPr="00F20E35">
        <w:rPr>
          <w:rFonts w:ascii="仿宋_GB2312" w:eastAsia="仿宋_GB2312" w:hAnsi="仿宋_GB2312" w:cs="仿宋_GB2312" w:hint="eastAsia"/>
          <w:sz w:val="32"/>
          <w:szCs w:val="32"/>
        </w:rPr>
        <w:t>配气量按不同情况核定：</w:t>
      </w:r>
    </w:p>
    <w:p w:rsidR="00F20E35" w:rsidRPr="00F20E35" w:rsidRDefault="00F20E35" w:rsidP="00F20E35">
      <w:pPr>
        <w:adjustRightInd w:val="0"/>
        <w:snapToGrid w:val="0"/>
        <w:spacing w:line="588" w:lineRule="exact"/>
        <w:ind w:firstLineChars="200" w:firstLine="640"/>
        <w:rPr>
          <w:rFonts w:ascii="仿宋_GB2312" w:eastAsia="仿宋_GB2312" w:hAnsi="仿宋_GB2312" w:cs="仿宋_GB2312"/>
          <w:sz w:val="32"/>
          <w:szCs w:val="32"/>
        </w:rPr>
      </w:pPr>
      <w:r w:rsidRPr="00F20E35">
        <w:rPr>
          <w:rFonts w:ascii="仿宋_GB2312" w:eastAsia="仿宋_GB2312" w:hAnsi="仿宋_GB2312" w:cs="仿宋_GB2312" w:hint="eastAsia"/>
          <w:sz w:val="32"/>
          <w:szCs w:val="32"/>
        </w:rPr>
        <w:t>（一）配气管网负荷率低于50%时，按年度设计气量的50%核定。</w:t>
      </w:r>
    </w:p>
    <w:p w:rsidR="00F20E35" w:rsidRPr="00F20E35" w:rsidRDefault="00F20E35" w:rsidP="00F20E35">
      <w:pPr>
        <w:adjustRightInd w:val="0"/>
        <w:snapToGrid w:val="0"/>
        <w:spacing w:line="588" w:lineRule="exact"/>
        <w:ind w:firstLineChars="200" w:firstLine="640"/>
        <w:rPr>
          <w:rFonts w:ascii="仿宋_GB2312" w:eastAsia="仿宋_GB2312" w:hAnsi="仿宋_GB2312" w:cs="仿宋_GB2312"/>
          <w:sz w:val="32"/>
          <w:szCs w:val="32"/>
        </w:rPr>
      </w:pPr>
      <w:r w:rsidRPr="00F20E35">
        <w:rPr>
          <w:rFonts w:ascii="仿宋_GB2312" w:eastAsia="仿宋_GB2312" w:hAnsi="仿宋_GB2312" w:cs="仿宋_GB2312" w:hint="eastAsia"/>
          <w:sz w:val="32"/>
          <w:szCs w:val="32"/>
        </w:rPr>
        <w:t>（二）配气管网负荷率大于等于50%时，实际供销差率小于等于规定供销差率的，按监审时上一年度实际配气量核定；实际供销差率大于规定供销差率的，按监审时上一年度年供气</w:t>
      </w:r>
      <w:r w:rsidRPr="00F20E35">
        <w:rPr>
          <w:rFonts w:ascii="仿宋_GB2312" w:eastAsia="仿宋_GB2312" w:hAnsi="仿宋_GB2312" w:cs="仿宋_GB2312" w:hint="eastAsia"/>
          <w:sz w:val="32"/>
          <w:szCs w:val="32"/>
        </w:rPr>
        <w:lastRenderedPageBreak/>
        <w:t>量×（1－规定供销差率）核定。</w:t>
      </w:r>
    </w:p>
    <w:p w:rsidR="00F20E35" w:rsidRPr="00F20E35" w:rsidRDefault="00F20E35" w:rsidP="00F20E35">
      <w:pPr>
        <w:adjustRightInd w:val="0"/>
        <w:snapToGrid w:val="0"/>
        <w:spacing w:line="588" w:lineRule="exact"/>
        <w:ind w:firstLineChars="200" w:firstLine="640"/>
        <w:rPr>
          <w:rFonts w:ascii="仿宋_GB2312" w:eastAsia="仿宋_GB2312" w:hAnsi="仿宋_GB2312" w:cs="仿宋_GB2312"/>
          <w:sz w:val="32"/>
          <w:szCs w:val="32"/>
        </w:rPr>
      </w:pPr>
      <w:r w:rsidRPr="00F20E35">
        <w:rPr>
          <w:rFonts w:ascii="仿宋_GB2312" w:eastAsia="仿宋_GB2312" w:hAnsi="仿宋_GB2312" w:cs="仿宋_GB2312" w:hint="eastAsia"/>
          <w:sz w:val="32"/>
          <w:szCs w:val="32"/>
        </w:rPr>
        <w:t>其中，配气网负荷率=（购进气量+年初储气量-年末储气量）÷年度设计气量，该指标均以监审时上一年度数据计算。年度设计气量按照可行性研究报告或供气规划中的设计能力确定。</w:t>
      </w:r>
    </w:p>
    <w:p w:rsidR="00F20E35" w:rsidRPr="00F20E35" w:rsidRDefault="00F20E35" w:rsidP="00F20E35">
      <w:pPr>
        <w:keepNext/>
        <w:keepLines/>
        <w:adjustRightInd w:val="0"/>
        <w:snapToGrid w:val="0"/>
        <w:spacing w:line="588" w:lineRule="exact"/>
        <w:jc w:val="center"/>
        <w:outlineLvl w:val="2"/>
        <w:rPr>
          <w:rFonts w:ascii="黑体" w:eastAsia="黑体" w:hAnsi="黑体" w:cs="黑体"/>
          <w:bCs/>
          <w:sz w:val="32"/>
          <w:szCs w:val="32"/>
        </w:rPr>
      </w:pPr>
    </w:p>
    <w:p w:rsidR="00F20E35" w:rsidRPr="00F20E35" w:rsidRDefault="00F20E35" w:rsidP="00F20E35">
      <w:pPr>
        <w:keepNext/>
        <w:keepLines/>
        <w:adjustRightInd w:val="0"/>
        <w:snapToGrid w:val="0"/>
        <w:spacing w:line="588" w:lineRule="exact"/>
        <w:jc w:val="center"/>
        <w:outlineLvl w:val="2"/>
        <w:rPr>
          <w:rFonts w:ascii="黑体" w:eastAsia="黑体" w:hAnsi="黑体" w:cs="黑体"/>
          <w:bCs/>
          <w:sz w:val="32"/>
          <w:szCs w:val="32"/>
        </w:rPr>
      </w:pPr>
      <w:r w:rsidRPr="00F20E35">
        <w:rPr>
          <w:rFonts w:ascii="黑体" w:eastAsia="黑体" w:hAnsi="黑体" w:cs="黑体" w:hint="eastAsia"/>
          <w:bCs/>
          <w:sz w:val="32"/>
          <w:szCs w:val="32"/>
        </w:rPr>
        <w:t>第四章　附　则</w:t>
      </w:r>
    </w:p>
    <w:p w:rsidR="00F20E35" w:rsidRPr="00F20E35" w:rsidRDefault="00F20E35" w:rsidP="00F20E35">
      <w:pPr>
        <w:spacing w:line="588" w:lineRule="exact"/>
        <w:rPr>
          <w:rFonts w:ascii="Calibri" w:eastAsia="宋体" w:hAnsi="Calibri" w:cs="Times New Roman"/>
        </w:rPr>
      </w:pPr>
    </w:p>
    <w:p w:rsidR="00F20E35" w:rsidRPr="00F20E35" w:rsidRDefault="00F20E35" w:rsidP="00F20E35">
      <w:pPr>
        <w:adjustRightInd w:val="0"/>
        <w:snapToGrid w:val="0"/>
        <w:spacing w:line="588" w:lineRule="exact"/>
        <w:ind w:firstLineChars="200" w:firstLine="640"/>
        <w:rPr>
          <w:rFonts w:ascii="仿宋_GB2312" w:eastAsia="仿宋_GB2312" w:hAnsi="仿宋_GB2312" w:cs="仿宋_GB2312"/>
          <w:sz w:val="32"/>
          <w:szCs w:val="32"/>
        </w:rPr>
      </w:pPr>
      <w:r w:rsidRPr="00F20E35">
        <w:rPr>
          <w:rFonts w:ascii="黑体" w:eastAsia="黑体" w:hAnsi="黑体" w:cs="黑体" w:hint="eastAsia"/>
          <w:bCs/>
          <w:sz w:val="32"/>
          <w:szCs w:val="32"/>
        </w:rPr>
        <w:t>第二十条</w:t>
      </w:r>
      <w:r w:rsidRPr="00F20E35">
        <w:rPr>
          <w:rFonts w:ascii="仿宋_GB2312" w:eastAsia="仿宋_GB2312" w:hAnsi="仿宋_GB2312" w:cs="仿宋_GB2312" w:hint="eastAsia"/>
          <w:sz w:val="32"/>
          <w:szCs w:val="32"/>
        </w:rPr>
        <w:t xml:space="preserve">　本办法由广西壮族自治区发展和改革委员会负责解释。</w:t>
      </w:r>
    </w:p>
    <w:p w:rsidR="00F20E35" w:rsidRPr="00F20E35" w:rsidRDefault="00F20E35" w:rsidP="00F20E35">
      <w:pPr>
        <w:adjustRightInd w:val="0"/>
        <w:snapToGrid w:val="0"/>
        <w:spacing w:line="588" w:lineRule="exact"/>
        <w:ind w:firstLineChars="200" w:firstLine="640"/>
        <w:rPr>
          <w:rFonts w:ascii="仿宋_GB2312" w:eastAsia="仿宋_GB2312" w:hAnsi="仿宋_GB2312" w:cs="仿宋_GB2312"/>
          <w:sz w:val="32"/>
          <w:szCs w:val="32"/>
        </w:rPr>
      </w:pPr>
      <w:r w:rsidRPr="00F20E35">
        <w:rPr>
          <w:rFonts w:ascii="黑体" w:eastAsia="黑体" w:hAnsi="黑体" w:cs="黑体" w:hint="eastAsia"/>
          <w:bCs/>
          <w:sz w:val="32"/>
          <w:szCs w:val="32"/>
        </w:rPr>
        <w:t>第二十一条</w:t>
      </w:r>
      <w:r w:rsidRPr="00F20E35">
        <w:rPr>
          <w:rFonts w:ascii="仿宋_GB2312" w:eastAsia="仿宋_GB2312" w:hAnsi="仿宋_GB2312" w:cs="仿宋_GB2312" w:hint="eastAsia"/>
          <w:sz w:val="32"/>
          <w:szCs w:val="32"/>
        </w:rPr>
        <w:t xml:space="preserve">　本办法自202X年X月X日起施行。《广西壮族自治区发展和改革委员会关于印发〈广西壮族自治区管道燃气配气定价成本监审办法（试行）〉的通知》（桂</w:t>
      </w:r>
      <w:proofErr w:type="gramStart"/>
      <w:r w:rsidRPr="00F20E35">
        <w:rPr>
          <w:rFonts w:ascii="仿宋_GB2312" w:eastAsia="仿宋_GB2312" w:hAnsi="仿宋_GB2312" w:cs="仿宋_GB2312" w:hint="eastAsia"/>
          <w:sz w:val="32"/>
          <w:szCs w:val="32"/>
        </w:rPr>
        <w:t>发改价格规</w:t>
      </w:r>
      <w:proofErr w:type="gramEnd"/>
      <w:r w:rsidRPr="00F20E35">
        <w:rPr>
          <w:rFonts w:ascii="仿宋_GB2312" w:eastAsia="仿宋_GB2312" w:hAnsi="仿宋_GB2312" w:cs="仿宋_GB2312" w:hint="eastAsia"/>
          <w:sz w:val="32"/>
          <w:szCs w:val="32"/>
        </w:rPr>
        <w:t>〔2019〕331号）同时作废。</w:t>
      </w:r>
    </w:p>
    <w:p w:rsidR="00F20E35" w:rsidRPr="00F20E35" w:rsidRDefault="00F20E35" w:rsidP="00F20E35">
      <w:pPr>
        <w:widowControl/>
        <w:spacing w:line="588" w:lineRule="exact"/>
        <w:jc w:val="left"/>
        <w:rPr>
          <w:rFonts w:ascii="仿宋_GB2312" w:eastAsia="仿宋_GB2312" w:hAnsi="仿宋_GB2312" w:cs="仿宋_GB2312"/>
          <w:sz w:val="32"/>
          <w:szCs w:val="32"/>
        </w:rPr>
      </w:pPr>
      <w:r w:rsidRPr="00F20E35">
        <w:rPr>
          <w:rFonts w:ascii="仿宋_GB2312" w:eastAsia="仿宋_GB2312" w:hAnsi="仿宋_GB2312" w:cs="仿宋_GB2312" w:hint="eastAsia"/>
          <w:sz w:val="32"/>
          <w:szCs w:val="32"/>
        </w:rPr>
        <w:br w:type="page"/>
      </w:r>
    </w:p>
    <w:p w:rsidR="00F20E35" w:rsidRPr="00F20E35" w:rsidRDefault="00F20E35" w:rsidP="00F20E35">
      <w:pPr>
        <w:adjustRightInd w:val="0"/>
        <w:snapToGrid w:val="0"/>
        <w:spacing w:line="588" w:lineRule="exact"/>
        <w:rPr>
          <w:rFonts w:ascii="黑体" w:eastAsia="黑体" w:hAnsi="黑体" w:cs="仿宋_GB2312"/>
          <w:sz w:val="32"/>
          <w:szCs w:val="32"/>
        </w:rPr>
      </w:pPr>
      <w:r w:rsidRPr="00F20E35">
        <w:rPr>
          <w:rFonts w:ascii="黑体" w:eastAsia="黑体" w:hAnsi="黑体" w:cs="仿宋_GB2312" w:hint="eastAsia"/>
          <w:sz w:val="32"/>
          <w:szCs w:val="32"/>
        </w:rPr>
        <w:lastRenderedPageBreak/>
        <w:t>附表</w:t>
      </w:r>
    </w:p>
    <w:p w:rsidR="00F20E35" w:rsidRPr="00F20E35" w:rsidRDefault="00F20E35" w:rsidP="00F20E35">
      <w:pPr>
        <w:adjustRightInd w:val="0"/>
        <w:snapToGrid w:val="0"/>
        <w:spacing w:line="588" w:lineRule="exact"/>
        <w:ind w:firstLineChars="200" w:firstLine="640"/>
        <w:rPr>
          <w:rFonts w:ascii="仿宋_GB2312" w:eastAsia="仿宋_GB2312" w:hAnsi="仿宋_GB2312" w:cs="仿宋_GB2312"/>
          <w:sz w:val="32"/>
          <w:szCs w:val="32"/>
        </w:rPr>
      </w:pPr>
    </w:p>
    <w:p w:rsidR="00F20E35" w:rsidRPr="00F20E35" w:rsidRDefault="00F20E35" w:rsidP="00F20E35">
      <w:pPr>
        <w:adjustRightInd w:val="0"/>
        <w:snapToGrid w:val="0"/>
        <w:spacing w:line="588" w:lineRule="exact"/>
        <w:jc w:val="center"/>
        <w:rPr>
          <w:rFonts w:ascii="方正小标宋简体" w:eastAsia="方正小标宋简体" w:hAnsi="仿宋_GB2312" w:cs="仿宋_GB2312"/>
          <w:sz w:val="44"/>
          <w:szCs w:val="44"/>
        </w:rPr>
      </w:pPr>
      <w:r w:rsidRPr="00F20E35">
        <w:rPr>
          <w:rFonts w:ascii="方正小标宋简体" w:eastAsia="方正小标宋简体" w:hAnsi="仿宋_GB2312" w:cs="仿宋_GB2312" w:hint="eastAsia"/>
          <w:sz w:val="44"/>
          <w:szCs w:val="44"/>
        </w:rPr>
        <w:t>管道燃气配气企业固定资产定价</w:t>
      </w:r>
    </w:p>
    <w:p w:rsidR="00F20E35" w:rsidRPr="00F20E35" w:rsidRDefault="00F20E35" w:rsidP="00F20E35">
      <w:pPr>
        <w:adjustRightInd w:val="0"/>
        <w:snapToGrid w:val="0"/>
        <w:spacing w:line="588" w:lineRule="exact"/>
        <w:jc w:val="center"/>
        <w:rPr>
          <w:rFonts w:ascii="方正小标宋简体" w:eastAsia="方正小标宋简体" w:hAnsi="仿宋_GB2312" w:cs="仿宋_GB2312"/>
          <w:sz w:val="44"/>
          <w:szCs w:val="44"/>
        </w:rPr>
      </w:pPr>
      <w:r w:rsidRPr="00F20E35">
        <w:rPr>
          <w:rFonts w:ascii="方正小标宋简体" w:eastAsia="方正小标宋简体" w:hAnsi="仿宋_GB2312" w:cs="仿宋_GB2312" w:hint="eastAsia"/>
          <w:sz w:val="44"/>
          <w:szCs w:val="44"/>
        </w:rPr>
        <w:t>折旧年限表</w:t>
      </w:r>
    </w:p>
    <w:p w:rsidR="00F20E35" w:rsidRPr="00F20E35" w:rsidRDefault="00F20E35" w:rsidP="00F20E35">
      <w:pPr>
        <w:adjustRightInd w:val="0"/>
        <w:snapToGrid w:val="0"/>
        <w:spacing w:line="588" w:lineRule="exact"/>
        <w:ind w:firstLineChars="200" w:firstLine="640"/>
        <w:rPr>
          <w:rFonts w:ascii="仿宋_GB2312" w:eastAsia="仿宋_GB2312" w:hAnsi="仿宋_GB2312" w:cs="仿宋_GB2312"/>
          <w:sz w:val="32"/>
          <w:szCs w:val="32"/>
        </w:rPr>
      </w:pPr>
    </w:p>
    <w:tbl>
      <w:tblPr>
        <w:tblW w:w="0" w:type="auto"/>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967"/>
        <w:gridCol w:w="3115"/>
        <w:gridCol w:w="3990"/>
      </w:tblGrid>
      <w:tr w:rsidR="00F20E35" w:rsidRPr="00F20E35" w:rsidTr="00FF6B00">
        <w:trPr>
          <w:trHeight w:val="624"/>
        </w:trPr>
        <w:tc>
          <w:tcPr>
            <w:tcW w:w="1967" w:type="dxa"/>
            <w:vAlign w:val="center"/>
          </w:tcPr>
          <w:p w:rsidR="00F20E35" w:rsidRPr="00F20E35" w:rsidRDefault="00F20E35" w:rsidP="00F20E35">
            <w:pPr>
              <w:widowControl/>
              <w:adjustRightInd w:val="0"/>
              <w:snapToGrid w:val="0"/>
              <w:spacing w:line="588" w:lineRule="exact"/>
              <w:jc w:val="center"/>
              <w:rPr>
                <w:rFonts w:ascii="仿宋_GB2312" w:eastAsia="仿宋_GB2312" w:hAnsi="仿宋_GB2312" w:cs="仿宋_GB2312"/>
                <w:kern w:val="0"/>
                <w:sz w:val="32"/>
                <w:szCs w:val="32"/>
              </w:rPr>
            </w:pPr>
            <w:r w:rsidRPr="00F20E35">
              <w:rPr>
                <w:rFonts w:ascii="仿宋_GB2312" w:eastAsia="仿宋_GB2312" w:hAnsi="仿宋_GB2312" w:cs="仿宋_GB2312" w:hint="eastAsia"/>
                <w:kern w:val="0"/>
                <w:sz w:val="32"/>
                <w:szCs w:val="32"/>
              </w:rPr>
              <w:t>序号</w:t>
            </w:r>
          </w:p>
        </w:tc>
        <w:tc>
          <w:tcPr>
            <w:tcW w:w="3115" w:type="dxa"/>
            <w:vAlign w:val="center"/>
          </w:tcPr>
          <w:p w:rsidR="00F20E35" w:rsidRPr="00F20E35" w:rsidRDefault="00F20E35" w:rsidP="00F20E35">
            <w:pPr>
              <w:widowControl/>
              <w:adjustRightInd w:val="0"/>
              <w:snapToGrid w:val="0"/>
              <w:spacing w:line="588" w:lineRule="exact"/>
              <w:jc w:val="center"/>
              <w:rPr>
                <w:rFonts w:ascii="仿宋_GB2312" w:eastAsia="仿宋_GB2312" w:hAnsi="仿宋_GB2312" w:cs="仿宋_GB2312"/>
                <w:kern w:val="0"/>
                <w:sz w:val="32"/>
                <w:szCs w:val="32"/>
              </w:rPr>
            </w:pPr>
            <w:r w:rsidRPr="00F20E35">
              <w:rPr>
                <w:rFonts w:ascii="仿宋_GB2312" w:eastAsia="仿宋_GB2312" w:hAnsi="仿宋_GB2312" w:cs="仿宋_GB2312" w:hint="eastAsia"/>
                <w:kern w:val="0"/>
                <w:sz w:val="32"/>
                <w:szCs w:val="32"/>
              </w:rPr>
              <w:t>资产类别/名称</w:t>
            </w:r>
          </w:p>
        </w:tc>
        <w:tc>
          <w:tcPr>
            <w:tcW w:w="3990" w:type="dxa"/>
            <w:vAlign w:val="center"/>
          </w:tcPr>
          <w:p w:rsidR="00F20E35" w:rsidRPr="00F20E35" w:rsidRDefault="00F20E35" w:rsidP="00F20E35">
            <w:pPr>
              <w:widowControl/>
              <w:adjustRightInd w:val="0"/>
              <w:snapToGrid w:val="0"/>
              <w:spacing w:line="588" w:lineRule="exact"/>
              <w:jc w:val="center"/>
              <w:rPr>
                <w:rFonts w:ascii="仿宋_GB2312" w:eastAsia="仿宋_GB2312" w:hAnsi="仿宋_GB2312" w:cs="仿宋_GB2312"/>
                <w:kern w:val="0"/>
                <w:sz w:val="32"/>
                <w:szCs w:val="32"/>
              </w:rPr>
            </w:pPr>
            <w:r w:rsidRPr="00F20E35">
              <w:rPr>
                <w:rFonts w:ascii="仿宋_GB2312" w:eastAsia="仿宋_GB2312" w:hAnsi="仿宋_GB2312" w:cs="仿宋_GB2312" w:hint="eastAsia"/>
                <w:kern w:val="0"/>
                <w:sz w:val="32"/>
                <w:szCs w:val="32"/>
              </w:rPr>
              <w:t>定价折旧年限</w:t>
            </w:r>
          </w:p>
        </w:tc>
      </w:tr>
      <w:tr w:rsidR="00F20E35" w:rsidRPr="00F20E35" w:rsidTr="00FF6B00">
        <w:trPr>
          <w:trHeight w:val="624"/>
        </w:trPr>
        <w:tc>
          <w:tcPr>
            <w:tcW w:w="1967" w:type="dxa"/>
            <w:vAlign w:val="center"/>
          </w:tcPr>
          <w:p w:rsidR="00F20E35" w:rsidRPr="00F20E35" w:rsidRDefault="00F20E35" w:rsidP="00F20E35">
            <w:pPr>
              <w:widowControl/>
              <w:adjustRightInd w:val="0"/>
              <w:snapToGrid w:val="0"/>
              <w:spacing w:line="588" w:lineRule="exact"/>
              <w:jc w:val="center"/>
              <w:rPr>
                <w:rFonts w:ascii="仿宋_GB2312" w:eastAsia="仿宋_GB2312" w:hAnsi="仿宋_GB2312" w:cs="仿宋_GB2312"/>
                <w:kern w:val="0"/>
                <w:sz w:val="32"/>
                <w:szCs w:val="32"/>
              </w:rPr>
            </w:pPr>
            <w:r w:rsidRPr="00F20E35">
              <w:rPr>
                <w:rFonts w:ascii="仿宋_GB2312" w:eastAsia="仿宋_GB2312" w:hAnsi="仿宋_GB2312" w:cs="仿宋_GB2312" w:hint="eastAsia"/>
                <w:kern w:val="0"/>
                <w:sz w:val="32"/>
                <w:szCs w:val="32"/>
              </w:rPr>
              <w:t>1</w:t>
            </w:r>
          </w:p>
        </w:tc>
        <w:tc>
          <w:tcPr>
            <w:tcW w:w="3115" w:type="dxa"/>
            <w:vAlign w:val="center"/>
          </w:tcPr>
          <w:p w:rsidR="00F20E35" w:rsidRPr="00F20E35" w:rsidRDefault="00F20E35" w:rsidP="00F20E35">
            <w:pPr>
              <w:widowControl/>
              <w:adjustRightInd w:val="0"/>
              <w:snapToGrid w:val="0"/>
              <w:spacing w:line="588" w:lineRule="exact"/>
              <w:jc w:val="center"/>
              <w:rPr>
                <w:rFonts w:ascii="仿宋_GB2312" w:eastAsia="仿宋_GB2312" w:hAnsi="仿宋_GB2312" w:cs="仿宋_GB2312"/>
                <w:kern w:val="0"/>
                <w:sz w:val="32"/>
                <w:szCs w:val="32"/>
              </w:rPr>
            </w:pPr>
            <w:r w:rsidRPr="00F20E35">
              <w:rPr>
                <w:rFonts w:ascii="仿宋_GB2312" w:eastAsia="仿宋_GB2312" w:hAnsi="仿宋_GB2312" w:cs="仿宋_GB2312" w:hint="eastAsia"/>
                <w:kern w:val="0"/>
                <w:sz w:val="32"/>
                <w:szCs w:val="32"/>
              </w:rPr>
              <w:t>房屋及建筑物</w:t>
            </w:r>
          </w:p>
        </w:tc>
        <w:tc>
          <w:tcPr>
            <w:tcW w:w="3990" w:type="dxa"/>
            <w:vAlign w:val="center"/>
          </w:tcPr>
          <w:p w:rsidR="00F20E35" w:rsidRPr="00F20E35" w:rsidRDefault="00F20E35" w:rsidP="00F20E35">
            <w:pPr>
              <w:widowControl/>
              <w:adjustRightInd w:val="0"/>
              <w:snapToGrid w:val="0"/>
              <w:spacing w:line="588" w:lineRule="exact"/>
              <w:jc w:val="center"/>
              <w:rPr>
                <w:rFonts w:ascii="仿宋_GB2312" w:eastAsia="仿宋_GB2312" w:hAnsi="仿宋_GB2312" w:cs="仿宋_GB2312"/>
                <w:kern w:val="0"/>
                <w:sz w:val="32"/>
                <w:szCs w:val="32"/>
              </w:rPr>
            </w:pPr>
            <w:r w:rsidRPr="00F20E35">
              <w:rPr>
                <w:rFonts w:ascii="仿宋_GB2312" w:eastAsia="仿宋_GB2312" w:hAnsi="仿宋_GB2312" w:cs="仿宋_GB2312" w:hint="eastAsia"/>
                <w:kern w:val="0"/>
                <w:sz w:val="32"/>
                <w:szCs w:val="32"/>
              </w:rPr>
              <w:t>30</w:t>
            </w:r>
          </w:p>
        </w:tc>
      </w:tr>
      <w:tr w:rsidR="00F20E35" w:rsidRPr="00F20E35" w:rsidTr="00FF6B00">
        <w:trPr>
          <w:trHeight w:val="624"/>
        </w:trPr>
        <w:tc>
          <w:tcPr>
            <w:tcW w:w="1967" w:type="dxa"/>
            <w:vAlign w:val="center"/>
          </w:tcPr>
          <w:p w:rsidR="00F20E35" w:rsidRPr="00F20E35" w:rsidRDefault="00F20E35" w:rsidP="00F20E35">
            <w:pPr>
              <w:widowControl/>
              <w:adjustRightInd w:val="0"/>
              <w:snapToGrid w:val="0"/>
              <w:spacing w:line="588" w:lineRule="exact"/>
              <w:jc w:val="center"/>
              <w:rPr>
                <w:rFonts w:ascii="仿宋_GB2312" w:eastAsia="仿宋_GB2312" w:hAnsi="仿宋_GB2312" w:cs="仿宋_GB2312"/>
                <w:kern w:val="0"/>
                <w:sz w:val="32"/>
                <w:szCs w:val="32"/>
              </w:rPr>
            </w:pPr>
            <w:r w:rsidRPr="00F20E35">
              <w:rPr>
                <w:rFonts w:ascii="仿宋_GB2312" w:eastAsia="仿宋_GB2312" w:hAnsi="仿宋_GB2312" w:cs="仿宋_GB2312" w:hint="eastAsia"/>
                <w:kern w:val="0"/>
                <w:sz w:val="32"/>
                <w:szCs w:val="32"/>
              </w:rPr>
              <w:t>2</w:t>
            </w:r>
          </w:p>
        </w:tc>
        <w:tc>
          <w:tcPr>
            <w:tcW w:w="3115" w:type="dxa"/>
            <w:vAlign w:val="center"/>
          </w:tcPr>
          <w:p w:rsidR="00F20E35" w:rsidRPr="00F20E35" w:rsidRDefault="00F20E35" w:rsidP="00F20E35">
            <w:pPr>
              <w:widowControl/>
              <w:adjustRightInd w:val="0"/>
              <w:snapToGrid w:val="0"/>
              <w:spacing w:line="588" w:lineRule="exact"/>
              <w:jc w:val="center"/>
              <w:rPr>
                <w:rFonts w:ascii="仿宋_GB2312" w:eastAsia="仿宋_GB2312" w:hAnsi="仿宋_GB2312" w:cs="仿宋_GB2312"/>
                <w:kern w:val="0"/>
                <w:sz w:val="32"/>
                <w:szCs w:val="32"/>
              </w:rPr>
            </w:pPr>
            <w:r w:rsidRPr="00F20E35">
              <w:rPr>
                <w:rFonts w:ascii="仿宋_GB2312" w:eastAsia="仿宋_GB2312" w:hAnsi="仿宋_GB2312" w:cs="仿宋_GB2312" w:hint="eastAsia"/>
                <w:kern w:val="0"/>
                <w:sz w:val="32"/>
                <w:szCs w:val="32"/>
              </w:rPr>
              <w:t>管道</w:t>
            </w:r>
          </w:p>
        </w:tc>
        <w:tc>
          <w:tcPr>
            <w:tcW w:w="3990" w:type="dxa"/>
            <w:vAlign w:val="center"/>
          </w:tcPr>
          <w:p w:rsidR="00F20E35" w:rsidRPr="00F20E35" w:rsidRDefault="00F20E35" w:rsidP="00F20E35">
            <w:pPr>
              <w:widowControl/>
              <w:adjustRightInd w:val="0"/>
              <w:snapToGrid w:val="0"/>
              <w:spacing w:line="588" w:lineRule="exact"/>
              <w:jc w:val="center"/>
              <w:rPr>
                <w:rFonts w:ascii="仿宋_GB2312" w:eastAsia="仿宋_GB2312" w:hAnsi="仿宋_GB2312" w:cs="仿宋_GB2312"/>
                <w:kern w:val="0"/>
                <w:sz w:val="32"/>
                <w:szCs w:val="32"/>
              </w:rPr>
            </w:pPr>
            <w:r w:rsidRPr="00F20E35">
              <w:rPr>
                <w:rFonts w:ascii="仿宋_GB2312" w:eastAsia="仿宋_GB2312" w:hAnsi="仿宋_GB2312" w:cs="仿宋_GB2312" w:hint="eastAsia"/>
                <w:kern w:val="0"/>
                <w:sz w:val="32"/>
                <w:szCs w:val="32"/>
              </w:rPr>
              <w:t>30</w:t>
            </w:r>
          </w:p>
        </w:tc>
      </w:tr>
      <w:tr w:rsidR="00F20E35" w:rsidRPr="00F20E35" w:rsidTr="00FF6B00">
        <w:trPr>
          <w:trHeight w:val="624"/>
        </w:trPr>
        <w:tc>
          <w:tcPr>
            <w:tcW w:w="1967" w:type="dxa"/>
            <w:vAlign w:val="center"/>
          </w:tcPr>
          <w:p w:rsidR="00F20E35" w:rsidRPr="00F20E35" w:rsidRDefault="00F20E35" w:rsidP="00F20E35">
            <w:pPr>
              <w:widowControl/>
              <w:adjustRightInd w:val="0"/>
              <w:snapToGrid w:val="0"/>
              <w:spacing w:line="588" w:lineRule="exact"/>
              <w:jc w:val="center"/>
              <w:rPr>
                <w:rFonts w:ascii="仿宋_GB2312" w:eastAsia="仿宋_GB2312" w:hAnsi="仿宋_GB2312" w:cs="仿宋_GB2312"/>
                <w:kern w:val="0"/>
                <w:sz w:val="32"/>
                <w:szCs w:val="32"/>
              </w:rPr>
            </w:pPr>
            <w:r w:rsidRPr="00F20E35">
              <w:rPr>
                <w:rFonts w:ascii="仿宋_GB2312" w:eastAsia="仿宋_GB2312" w:hAnsi="仿宋_GB2312" w:cs="仿宋_GB2312" w:hint="eastAsia"/>
                <w:kern w:val="0"/>
                <w:sz w:val="32"/>
                <w:szCs w:val="32"/>
              </w:rPr>
              <w:t>3</w:t>
            </w:r>
          </w:p>
        </w:tc>
        <w:tc>
          <w:tcPr>
            <w:tcW w:w="3115" w:type="dxa"/>
            <w:vAlign w:val="center"/>
          </w:tcPr>
          <w:p w:rsidR="00F20E35" w:rsidRPr="00F20E35" w:rsidRDefault="00F20E35" w:rsidP="00F20E35">
            <w:pPr>
              <w:widowControl/>
              <w:adjustRightInd w:val="0"/>
              <w:snapToGrid w:val="0"/>
              <w:spacing w:line="588" w:lineRule="exact"/>
              <w:jc w:val="center"/>
              <w:rPr>
                <w:rFonts w:ascii="仿宋_GB2312" w:eastAsia="仿宋_GB2312" w:hAnsi="仿宋_GB2312" w:cs="仿宋_GB2312"/>
                <w:kern w:val="0"/>
                <w:sz w:val="32"/>
                <w:szCs w:val="32"/>
              </w:rPr>
            </w:pPr>
            <w:r w:rsidRPr="00F20E35">
              <w:rPr>
                <w:rFonts w:ascii="仿宋_GB2312" w:eastAsia="仿宋_GB2312" w:hAnsi="仿宋_GB2312" w:cs="仿宋_GB2312" w:hint="eastAsia"/>
                <w:kern w:val="0"/>
                <w:sz w:val="32"/>
                <w:szCs w:val="32"/>
              </w:rPr>
              <w:t>通用设备及设施</w:t>
            </w:r>
          </w:p>
        </w:tc>
        <w:tc>
          <w:tcPr>
            <w:tcW w:w="3990" w:type="dxa"/>
            <w:vAlign w:val="center"/>
          </w:tcPr>
          <w:p w:rsidR="00F20E35" w:rsidRPr="00F20E35" w:rsidRDefault="00F20E35" w:rsidP="00F20E35">
            <w:pPr>
              <w:widowControl/>
              <w:adjustRightInd w:val="0"/>
              <w:snapToGrid w:val="0"/>
              <w:spacing w:line="588" w:lineRule="exact"/>
              <w:jc w:val="center"/>
              <w:rPr>
                <w:rFonts w:ascii="仿宋_GB2312" w:eastAsia="仿宋_GB2312" w:hAnsi="仿宋_GB2312" w:cs="仿宋_GB2312"/>
                <w:kern w:val="0"/>
                <w:sz w:val="32"/>
                <w:szCs w:val="32"/>
              </w:rPr>
            </w:pPr>
            <w:r w:rsidRPr="00F20E35">
              <w:rPr>
                <w:rFonts w:ascii="仿宋_GB2312" w:eastAsia="仿宋_GB2312" w:hAnsi="仿宋_GB2312" w:cs="仿宋_GB2312" w:hint="eastAsia"/>
                <w:kern w:val="0"/>
                <w:sz w:val="32"/>
                <w:szCs w:val="32"/>
              </w:rPr>
              <w:t>12</w:t>
            </w:r>
          </w:p>
        </w:tc>
      </w:tr>
      <w:tr w:rsidR="00F20E35" w:rsidRPr="00F20E35" w:rsidTr="00FF6B00">
        <w:trPr>
          <w:trHeight w:val="624"/>
        </w:trPr>
        <w:tc>
          <w:tcPr>
            <w:tcW w:w="1967" w:type="dxa"/>
            <w:vAlign w:val="center"/>
          </w:tcPr>
          <w:p w:rsidR="00F20E35" w:rsidRPr="00F20E35" w:rsidRDefault="00F20E35" w:rsidP="00F20E35">
            <w:pPr>
              <w:widowControl/>
              <w:adjustRightInd w:val="0"/>
              <w:snapToGrid w:val="0"/>
              <w:spacing w:line="588" w:lineRule="exact"/>
              <w:jc w:val="center"/>
              <w:rPr>
                <w:rFonts w:ascii="仿宋_GB2312" w:eastAsia="仿宋_GB2312" w:hAnsi="仿宋_GB2312" w:cs="仿宋_GB2312"/>
                <w:kern w:val="0"/>
                <w:sz w:val="32"/>
                <w:szCs w:val="32"/>
              </w:rPr>
            </w:pPr>
            <w:r w:rsidRPr="00F20E35">
              <w:rPr>
                <w:rFonts w:ascii="仿宋_GB2312" w:eastAsia="仿宋_GB2312" w:hAnsi="仿宋_GB2312" w:cs="仿宋_GB2312" w:hint="eastAsia"/>
                <w:kern w:val="0"/>
                <w:sz w:val="32"/>
                <w:szCs w:val="32"/>
              </w:rPr>
              <w:t>4</w:t>
            </w:r>
          </w:p>
        </w:tc>
        <w:tc>
          <w:tcPr>
            <w:tcW w:w="3115" w:type="dxa"/>
            <w:vAlign w:val="center"/>
          </w:tcPr>
          <w:p w:rsidR="00F20E35" w:rsidRPr="00F20E35" w:rsidRDefault="00F20E35" w:rsidP="00F20E35">
            <w:pPr>
              <w:widowControl/>
              <w:adjustRightInd w:val="0"/>
              <w:snapToGrid w:val="0"/>
              <w:spacing w:line="588" w:lineRule="exact"/>
              <w:jc w:val="center"/>
              <w:rPr>
                <w:rFonts w:ascii="仿宋_GB2312" w:eastAsia="仿宋_GB2312" w:hAnsi="仿宋_GB2312" w:cs="仿宋_GB2312"/>
                <w:kern w:val="0"/>
                <w:sz w:val="32"/>
                <w:szCs w:val="32"/>
              </w:rPr>
            </w:pPr>
            <w:r w:rsidRPr="00F20E35">
              <w:rPr>
                <w:rFonts w:ascii="仿宋_GB2312" w:eastAsia="仿宋_GB2312" w:hAnsi="仿宋_GB2312" w:cs="仿宋_GB2312" w:hint="eastAsia"/>
                <w:kern w:val="0"/>
                <w:sz w:val="32"/>
                <w:szCs w:val="32"/>
              </w:rPr>
              <w:t>交通运输工具</w:t>
            </w:r>
          </w:p>
        </w:tc>
        <w:tc>
          <w:tcPr>
            <w:tcW w:w="3990" w:type="dxa"/>
            <w:vAlign w:val="center"/>
          </w:tcPr>
          <w:p w:rsidR="00F20E35" w:rsidRPr="00F20E35" w:rsidRDefault="00F20E35" w:rsidP="00F20E35">
            <w:pPr>
              <w:widowControl/>
              <w:adjustRightInd w:val="0"/>
              <w:snapToGrid w:val="0"/>
              <w:spacing w:line="588" w:lineRule="exact"/>
              <w:jc w:val="center"/>
              <w:rPr>
                <w:rFonts w:ascii="仿宋_GB2312" w:eastAsia="仿宋_GB2312" w:hAnsi="仿宋_GB2312" w:cs="仿宋_GB2312"/>
                <w:kern w:val="0"/>
                <w:sz w:val="32"/>
                <w:szCs w:val="32"/>
              </w:rPr>
            </w:pPr>
            <w:r w:rsidRPr="00F20E35">
              <w:rPr>
                <w:rFonts w:ascii="仿宋_GB2312" w:eastAsia="仿宋_GB2312" w:hAnsi="仿宋_GB2312" w:cs="仿宋_GB2312" w:hint="eastAsia"/>
                <w:kern w:val="0"/>
                <w:sz w:val="32"/>
                <w:szCs w:val="32"/>
              </w:rPr>
              <w:t>8</w:t>
            </w:r>
          </w:p>
        </w:tc>
      </w:tr>
      <w:tr w:rsidR="00F20E35" w:rsidRPr="00F20E35" w:rsidTr="00FF6B00">
        <w:trPr>
          <w:trHeight w:val="624"/>
        </w:trPr>
        <w:tc>
          <w:tcPr>
            <w:tcW w:w="1967" w:type="dxa"/>
            <w:vAlign w:val="center"/>
          </w:tcPr>
          <w:p w:rsidR="00F20E35" w:rsidRPr="00F20E35" w:rsidRDefault="00F20E35" w:rsidP="00F20E35">
            <w:pPr>
              <w:widowControl/>
              <w:adjustRightInd w:val="0"/>
              <w:snapToGrid w:val="0"/>
              <w:spacing w:line="588" w:lineRule="exact"/>
              <w:jc w:val="center"/>
              <w:rPr>
                <w:rFonts w:ascii="仿宋_GB2312" w:eastAsia="仿宋_GB2312" w:hAnsi="仿宋_GB2312" w:cs="仿宋_GB2312"/>
                <w:kern w:val="0"/>
                <w:sz w:val="32"/>
                <w:szCs w:val="32"/>
              </w:rPr>
            </w:pPr>
            <w:r w:rsidRPr="00F20E35">
              <w:rPr>
                <w:rFonts w:ascii="仿宋_GB2312" w:eastAsia="仿宋_GB2312" w:hAnsi="仿宋_GB2312" w:cs="仿宋_GB2312" w:hint="eastAsia"/>
                <w:kern w:val="0"/>
                <w:sz w:val="32"/>
                <w:szCs w:val="32"/>
              </w:rPr>
              <w:t>5</w:t>
            </w:r>
          </w:p>
        </w:tc>
        <w:tc>
          <w:tcPr>
            <w:tcW w:w="3115" w:type="dxa"/>
            <w:vAlign w:val="center"/>
          </w:tcPr>
          <w:p w:rsidR="00F20E35" w:rsidRPr="00F20E35" w:rsidRDefault="00F20E35" w:rsidP="00F20E35">
            <w:pPr>
              <w:widowControl/>
              <w:adjustRightInd w:val="0"/>
              <w:snapToGrid w:val="0"/>
              <w:spacing w:line="588" w:lineRule="exact"/>
              <w:jc w:val="center"/>
              <w:rPr>
                <w:rFonts w:ascii="仿宋_GB2312" w:eastAsia="仿宋_GB2312" w:hAnsi="仿宋_GB2312" w:cs="仿宋_GB2312"/>
                <w:kern w:val="0"/>
                <w:sz w:val="32"/>
                <w:szCs w:val="32"/>
              </w:rPr>
            </w:pPr>
            <w:r w:rsidRPr="00F20E35">
              <w:rPr>
                <w:rFonts w:ascii="仿宋_GB2312" w:eastAsia="仿宋_GB2312" w:hAnsi="仿宋_GB2312" w:cs="仿宋_GB2312" w:hint="eastAsia"/>
                <w:kern w:val="0"/>
                <w:sz w:val="32"/>
                <w:szCs w:val="32"/>
              </w:rPr>
              <w:t>电子设备</w:t>
            </w:r>
          </w:p>
        </w:tc>
        <w:tc>
          <w:tcPr>
            <w:tcW w:w="3990" w:type="dxa"/>
            <w:vAlign w:val="center"/>
          </w:tcPr>
          <w:p w:rsidR="00F20E35" w:rsidRPr="00F20E35" w:rsidRDefault="00F20E35" w:rsidP="00F20E35">
            <w:pPr>
              <w:widowControl/>
              <w:adjustRightInd w:val="0"/>
              <w:snapToGrid w:val="0"/>
              <w:spacing w:line="588" w:lineRule="exact"/>
              <w:jc w:val="center"/>
              <w:rPr>
                <w:rFonts w:ascii="仿宋_GB2312" w:eastAsia="仿宋_GB2312" w:hAnsi="仿宋_GB2312" w:cs="仿宋_GB2312"/>
                <w:kern w:val="0"/>
                <w:sz w:val="32"/>
                <w:szCs w:val="32"/>
              </w:rPr>
            </w:pPr>
            <w:r w:rsidRPr="00F20E35">
              <w:rPr>
                <w:rFonts w:ascii="仿宋_GB2312" w:eastAsia="仿宋_GB2312" w:hAnsi="仿宋_GB2312" w:cs="仿宋_GB2312" w:hint="eastAsia"/>
                <w:kern w:val="0"/>
                <w:sz w:val="32"/>
                <w:szCs w:val="32"/>
              </w:rPr>
              <w:t>5</w:t>
            </w:r>
          </w:p>
        </w:tc>
      </w:tr>
      <w:tr w:rsidR="00F20E35" w:rsidRPr="00F20E35" w:rsidTr="00FF6B00">
        <w:trPr>
          <w:trHeight w:val="624"/>
        </w:trPr>
        <w:tc>
          <w:tcPr>
            <w:tcW w:w="1967" w:type="dxa"/>
            <w:vAlign w:val="center"/>
          </w:tcPr>
          <w:p w:rsidR="00F20E35" w:rsidRPr="00F20E35" w:rsidRDefault="00F20E35" w:rsidP="00F20E35">
            <w:pPr>
              <w:widowControl/>
              <w:adjustRightInd w:val="0"/>
              <w:snapToGrid w:val="0"/>
              <w:spacing w:line="588" w:lineRule="exact"/>
              <w:jc w:val="center"/>
              <w:rPr>
                <w:rFonts w:ascii="仿宋_GB2312" w:eastAsia="仿宋_GB2312" w:hAnsi="仿宋_GB2312" w:cs="仿宋_GB2312"/>
                <w:kern w:val="0"/>
                <w:sz w:val="32"/>
                <w:szCs w:val="32"/>
              </w:rPr>
            </w:pPr>
            <w:r w:rsidRPr="00F20E35">
              <w:rPr>
                <w:rFonts w:ascii="仿宋_GB2312" w:eastAsia="仿宋_GB2312" w:hAnsi="仿宋_GB2312" w:cs="仿宋_GB2312" w:hint="eastAsia"/>
                <w:kern w:val="0"/>
                <w:sz w:val="32"/>
                <w:szCs w:val="32"/>
              </w:rPr>
              <w:t>6</w:t>
            </w:r>
          </w:p>
        </w:tc>
        <w:tc>
          <w:tcPr>
            <w:tcW w:w="3115" w:type="dxa"/>
            <w:vAlign w:val="center"/>
          </w:tcPr>
          <w:p w:rsidR="00F20E35" w:rsidRPr="00F20E35" w:rsidRDefault="00F20E35" w:rsidP="00F20E35">
            <w:pPr>
              <w:widowControl/>
              <w:adjustRightInd w:val="0"/>
              <w:snapToGrid w:val="0"/>
              <w:spacing w:line="588" w:lineRule="exact"/>
              <w:jc w:val="center"/>
              <w:rPr>
                <w:rFonts w:ascii="仿宋_GB2312" w:eastAsia="仿宋_GB2312" w:hAnsi="仿宋_GB2312" w:cs="仿宋_GB2312"/>
                <w:kern w:val="0"/>
                <w:sz w:val="32"/>
                <w:szCs w:val="32"/>
              </w:rPr>
            </w:pPr>
            <w:r w:rsidRPr="00F20E35">
              <w:rPr>
                <w:rFonts w:ascii="仿宋_GB2312" w:eastAsia="仿宋_GB2312" w:hAnsi="仿宋_GB2312" w:cs="仿宋_GB2312" w:hint="eastAsia"/>
                <w:kern w:val="0"/>
                <w:sz w:val="32"/>
                <w:szCs w:val="32"/>
              </w:rPr>
              <w:t>其他</w:t>
            </w:r>
          </w:p>
        </w:tc>
        <w:tc>
          <w:tcPr>
            <w:tcW w:w="3990" w:type="dxa"/>
            <w:vAlign w:val="center"/>
          </w:tcPr>
          <w:p w:rsidR="00F20E35" w:rsidRPr="00F20E35" w:rsidRDefault="00F20E35" w:rsidP="00F20E35">
            <w:pPr>
              <w:widowControl/>
              <w:adjustRightInd w:val="0"/>
              <w:snapToGrid w:val="0"/>
              <w:spacing w:line="588" w:lineRule="exact"/>
              <w:jc w:val="center"/>
              <w:rPr>
                <w:rFonts w:ascii="仿宋_GB2312" w:eastAsia="仿宋_GB2312" w:hAnsi="仿宋_GB2312" w:cs="仿宋_GB2312"/>
                <w:kern w:val="0"/>
                <w:sz w:val="32"/>
                <w:szCs w:val="32"/>
              </w:rPr>
            </w:pPr>
            <w:r w:rsidRPr="00F20E35">
              <w:rPr>
                <w:rFonts w:ascii="仿宋_GB2312" w:eastAsia="仿宋_GB2312" w:hAnsi="仿宋_GB2312" w:cs="仿宋_GB2312" w:hint="eastAsia"/>
                <w:kern w:val="0"/>
                <w:sz w:val="32"/>
                <w:szCs w:val="32"/>
              </w:rPr>
              <w:t>按有关财务制度规定</w:t>
            </w:r>
          </w:p>
        </w:tc>
      </w:tr>
    </w:tbl>
    <w:p w:rsidR="00F20E35" w:rsidRPr="00F20E35" w:rsidRDefault="00F20E35" w:rsidP="00F20E35">
      <w:pPr>
        <w:adjustRightInd w:val="0"/>
        <w:snapToGrid w:val="0"/>
        <w:spacing w:line="588" w:lineRule="exact"/>
        <w:ind w:firstLineChars="200" w:firstLine="640"/>
        <w:rPr>
          <w:rFonts w:ascii="仿宋" w:eastAsia="仿宋" w:hAnsi="仿宋" w:cs="仿宋"/>
          <w:sz w:val="32"/>
          <w:szCs w:val="32"/>
        </w:rPr>
      </w:pPr>
    </w:p>
    <w:p w:rsidR="00F20E35" w:rsidRPr="00F20E35" w:rsidRDefault="00F20E35" w:rsidP="00F20E35">
      <w:pPr>
        <w:widowControl/>
        <w:spacing w:line="588" w:lineRule="exact"/>
        <w:jc w:val="left"/>
        <w:rPr>
          <w:rFonts w:ascii="Calibri" w:eastAsia="宋体" w:hAnsi="Calibri" w:cs="Times New Roman"/>
        </w:rPr>
      </w:pPr>
    </w:p>
    <w:p w:rsidR="00CA2B97" w:rsidRDefault="00CA2B97"/>
    <w:sectPr w:rsidR="00CA2B97">
      <w:footerReference w:type="default" r:id="rId6"/>
      <w:pgSz w:w="11906" w:h="16838"/>
      <w:pgMar w:top="1440" w:right="1587" w:bottom="1440" w:left="1701" w:header="851" w:footer="992" w:gutter="0"/>
      <w:pgNumType w:fmt="numberInDash"/>
      <w:cols w:space="720"/>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07038" w:rsidRDefault="00307038" w:rsidP="00BB3C55">
      <w:r>
        <w:separator/>
      </w:r>
    </w:p>
  </w:endnote>
  <w:endnote w:type="continuationSeparator" w:id="0">
    <w:p w:rsidR="00307038" w:rsidRDefault="00307038" w:rsidP="00BB3C5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modern"/>
    <w:pitch w:val="fixed"/>
    <w:sig w:usb0="800002BF" w:usb1="38CF7CFA" w:usb2="00000016" w:usb3="00000000" w:csb0="00040001" w:csb1="00000000"/>
  </w:font>
  <w:font w:name="方正小标宋简体">
    <w:charset w:val="86"/>
    <w:family w:val="script"/>
    <w:pitch w:val="fixed"/>
    <w:sig w:usb0="00000001" w:usb1="080E0000" w:usb2="00000010" w:usb3="00000000" w:csb0="00040000" w:csb1="00000000"/>
  </w:font>
  <w:font w:name="仿宋_GB2312">
    <w:charset w:val="86"/>
    <w:family w:val="modern"/>
    <w:pitch w:val="fixed"/>
    <w:sig w:usb0="00000001" w:usb1="080E0000" w:usb2="00000010" w:usb3="00000000" w:csb0="00040000" w:csb1="00000000"/>
  </w:font>
  <w:font w:name="Calibri">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仿宋">
    <w:charset w:val="86"/>
    <w:family w:val="modern"/>
    <w:pitch w:val="fixed"/>
    <w:sig w:usb0="800002BF" w:usb1="38CF7CFA" w:usb2="00000016" w:usb3="00000000" w:csb0="00040001" w:csb1="00000000"/>
  </w:font>
  <w:font w:name="等线 Light">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00000" w:rsidRDefault="00F20E35">
    <w:pPr>
      <w:pStyle w:val="a3"/>
    </w:pPr>
    <w:r>
      <w:rPr>
        <w:noProof/>
      </w:rPr>
      <mc:AlternateContent>
        <mc:Choice Requires="wps">
          <w:drawing>
            <wp:anchor distT="0" distB="0" distL="114300" distR="114300" simplePos="0" relativeHeight="251659264" behindDoc="0" locked="0" layoutInCell="1" allowOverlap="1">
              <wp:simplePos x="0" y="0"/>
              <wp:positionH relativeFrom="margin">
                <wp:align>right</wp:align>
              </wp:positionH>
              <wp:positionV relativeFrom="paragraph">
                <wp:posOffset>0</wp:posOffset>
              </wp:positionV>
              <wp:extent cx="369570" cy="217170"/>
              <wp:effectExtent l="0" t="0" r="5715" b="635"/>
              <wp:wrapNone/>
              <wp:docPr id="1" name="文本框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69570" cy="217170"/>
                      </a:xfrm>
                      <a:prstGeom prst="rect">
                        <a:avLst/>
                      </a:prstGeom>
                      <a:noFill/>
                      <a:ln w="6350">
                        <a:noFill/>
                      </a:ln>
                    </wps:spPr>
                    <wps:txbx>
                      <w:txbxContent>
                        <w:p w:rsidR="00000000" w:rsidRDefault="00307038">
                          <w:pPr>
                            <w:pStyle w:val="a3"/>
                            <w:rPr>
                              <w:rFonts w:eastAsia="宋体" w:hint="eastAsia"/>
                              <w:sz w:val="28"/>
                              <w:szCs w:val="28"/>
                            </w:rPr>
                          </w:pPr>
                          <w:r>
                            <w:rPr>
                              <w:rFonts w:hint="eastAsia"/>
                              <w:sz w:val="28"/>
                              <w:szCs w:val="28"/>
                            </w:rPr>
                            <w:fldChar w:fldCharType="begin"/>
                          </w:r>
                          <w:r>
                            <w:rPr>
                              <w:rFonts w:hint="eastAsia"/>
                              <w:sz w:val="28"/>
                              <w:szCs w:val="28"/>
                            </w:rPr>
                            <w:instrText xml:space="preserve"> PAGE  \* MERGEFORMAT </w:instrText>
                          </w:r>
                          <w:r>
                            <w:rPr>
                              <w:rFonts w:hint="eastAsia"/>
                              <w:sz w:val="28"/>
                              <w:szCs w:val="28"/>
                            </w:rPr>
                            <w:fldChar w:fldCharType="separate"/>
                          </w:r>
                          <w:r w:rsidR="00BB3C55">
                            <w:rPr>
                              <w:noProof/>
                              <w:sz w:val="28"/>
                              <w:szCs w:val="28"/>
                            </w:rPr>
                            <w:t>- 1 -</w:t>
                          </w:r>
                          <w:r>
                            <w:rPr>
                              <w:rFonts w:hint="eastAsia"/>
                              <w:sz w:val="28"/>
                              <w:szCs w:val="28"/>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文本框 1" o:spid="_x0000_s1026" type="#_x0000_t202" style="position:absolute;margin-left:-22.1pt;margin-top:0;width:29.1pt;height:17.1pt;z-index:251659264;visibility:visible;mso-wrap-style:non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" filled="f" stroked="f" strokeweight=".5pt">
              <v:path arrowok="t"/>
              <v:textbox style="mso-fit-shape-to-text:t" inset="0,0,0,0">
                <w:txbxContent>
                  <w:p w:rsidR="00000000" w:rsidRDefault="00307038">
                    <w:pPr>
                      <w:pStyle w:val="a3"/>
                      <w:rPr>
                        <w:rFonts w:eastAsia="宋体" w:hint="eastAsia"/>
                        <w:sz w:val="28"/>
                        <w:szCs w:val="28"/>
                      </w:rPr>
                    </w:pPr>
                    <w:r>
                      <w:rPr>
                        <w:rFonts w:hint="eastAsia"/>
                        <w:sz w:val="28"/>
                        <w:szCs w:val="28"/>
                      </w:rPr>
                      <w:fldChar w:fldCharType="begin"/>
                    </w:r>
                    <w:r>
                      <w:rPr>
                        <w:rFonts w:hint="eastAsia"/>
                        <w:sz w:val="28"/>
                        <w:szCs w:val="28"/>
                      </w:rPr>
                      <w:instrText xml:space="preserve"> PAGE  \* MERGEFORMAT </w:instrText>
                    </w:r>
                    <w:r>
                      <w:rPr>
                        <w:rFonts w:hint="eastAsia"/>
                        <w:sz w:val="28"/>
                        <w:szCs w:val="28"/>
                      </w:rPr>
                      <w:fldChar w:fldCharType="separate"/>
                    </w:r>
                    <w:r w:rsidR="00BB3C55">
                      <w:rPr>
                        <w:noProof/>
                        <w:sz w:val="28"/>
                        <w:szCs w:val="28"/>
                      </w:rPr>
                      <w:t>- 1 -</w:t>
                    </w:r>
                    <w:r>
                      <w:rPr>
                        <w:rFonts w:hint="eastAsia"/>
                        <w:sz w:val="28"/>
                        <w:szCs w:val="28"/>
                      </w:rPr>
                      <w:fldChar w:fldCharType="end"/>
                    </w:r>
                  </w:p>
                </w:txbxContent>
              </v:textbox>
              <w10:wrap anchorx="margin"/>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07038" w:rsidRDefault="00307038" w:rsidP="00BB3C55">
      <w:r>
        <w:separator/>
      </w:r>
    </w:p>
  </w:footnote>
  <w:footnote w:type="continuationSeparator" w:id="0">
    <w:p w:rsidR="00307038" w:rsidRDefault="00307038" w:rsidP="00BB3C5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20E35"/>
    <w:rsid w:val="00307038"/>
    <w:rsid w:val="00BB3C55"/>
    <w:rsid w:val="00CA2B97"/>
    <w:rsid w:val="00F20E3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7AE77AC"/>
  <w15:chartTrackingRefBased/>
  <w15:docId w15:val="{92231E27-22D7-457F-86F5-E02A354F2C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rsid w:val="00F20E35"/>
    <w:pPr>
      <w:tabs>
        <w:tab w:val="center" w:pos="4153"/>
        <w:tab w:val="right" w:pos="8306"/>
      </w:tabs>
      <w:snapToGrid w:val="0"/>
      <w:jc w:val="left"/>
    </w:pPr>
    <w:rPr>
      <w:sz w:val="18"/>
      <w:szCs w:val="18"/>
    </w:rPr>
  </w:style>
  <w:style w:type="character" w:customStyle="1" w:styleId="a4">
    <w:name w:val="页脚 字符"/>
    <w:basedOn w:val="a0"/>
    <w:link w:val="a3"/>
    <w:uiPriority w:val="99"/>
    <w:rsid w:val="00F20E35"/>
    <w:rPr>
      <w:sz w:val="18"/>
      <w:szCs w:val="18"/>
    </w:rPr>
  </w:style>
  <w:style w:type="paragraph" w:styleId="a5">
    <w:name w:val="header"/>
    <w:basedOn w:val="a"/>
    <w:link w:val="a6"/>
    <w:uiPriority w:val="99"/>
    <w:unhideWhenUsed/>
    <w:rsid w:val="00BB3C55"/>
    <w:pPr>
      <w:pBdr>
        <w:bottom w:val="single" w:sz="6" w:space="1" w:color="auto"/>
      </w:pBdr>
      <w:tabs>
        <w:tab w:val="center" w:pos="4153"/>
        <w:tab w:val="right" w:pos="8306"/>
      </w:tabs>
      <w:snapToGrid w:val="0"/>
      <w:jc w:val="center"/>
    </w:pPr>
    <w:rPr>
      <w:sz w:val="18"/>
      <w:szCs w:val="18"/>
    </w:rPr>
  </w:style>
  <w:style w:type="character" w:customStyle="1" w:styleId="a6">
    <w:name w:val="页眉 字符"/>
    <w:basedOn w:val="a0"/>
    <w:link w:val="a5"/>
    <w:uiPriority w:val="99"/>
    <w:rsid w:val="00BB3C55"/>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10</Pages>
  <Words>638</Words>
  <Characters>3639</Characters>
  <Application>Microsoft Office Word</Application>
  <DocSecurity>0</DocSecurity>
  <Lines>30</Lines>
  <Paragraphs>8</Paragraphs>
  <ScaleCrop>false</ScaleCrop>
  <Company>Microsoft</Company>
  <LinksUpToDate>false</LinksUpToDate>
  <CharactersWithSpaces>4269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CXH</dc:creator>
  <cp:keywords/>
  <dc:description/>
  <cp:lastModifiedBy>CXH</cp:lastModifiedBy>
  <cp:revision>2</cp:revision>
  <dcterms:created xsi:type="dcterms:W3CDTF">2023-02-13T01:45:00Z</dcterms:created>
  <dcterms:modified xsi:type="dcterms:W3CDTF">2023-02-13T01:47:00Z</dcterms:modified>
</cp:coreProperties>
</file>